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485A2" w14:textId="624644F9" w:rsidR="009E7093" w:rsidRPr="00AD3125" w:rsidRDefault="00F36F7A" w:rsidP="002260F5">
      <w:pPr>
        <w:pStyle w:val="Titre2"/>
        <w:spacing w:before="0"/>
        <w:ind w:left="360"/>
        <w:jc w:val="center"/>
        <w:rPr>
          <w:sz w:val="28"/>
          <w:bdr w:val="nil"/>
          <w:lang w:val="fr-FR" w:eastAsia="fr-FR"/>
        </w:rPr>
      </w:pPr>
      <w:r w:rsidRPr="00AD3125">
        <w:rPr>
          <w:sz w:val="28"/>
          <w:bdr w:val="nil"/>
          <w:lang w:val="fr-FR" w:eastAsia="fr-FR"/>
        </w:rPr>
        <w:t>REGLEMENT</w:t>
      </w:r>
      <w:r w:rsidR="00ED4D45" w:rsidRPr="00AD3125">
        <w:rPr>
          <w:sz w:val="28"/>
          <w:bdr w:val="nil"/>
          <w:lang w:val="fr-FR" w:eastAsia="fr-FR"/>
        </w:rPr>
        <w:t xml:space="preserve"> DES ETUDES ET </w:t>
      </w:r>
      <w:r w:rsidR="00F705F8" w:rsidRPr="00AD3125">
        <w:rPr>
          <w:sz w:val="28"/>
          <w:bdr w:val="nil"/>
          <w:lang w:val="fr-FR" w:eastAsia="fr-FR"/>
        </w:rPr>
        <w:t>MCC</w:t>
      </w:r>
      <w:r w:rsidR="002035E2">
        <w:rPr>
          <w:sz w:val="28"/>
          <w:bdr w:val="nil"/>
          <w:lang w:val="fr-FR" w:eastAsia="fr-FR"/>
        </w:rPr>
        <w:t>C</w:t>
      </w:r>
      <w:r w:rsidR="00F705F8" w:rsidRPr="00AD3125">
        <w:rPr>
          <w:sz w:val="28"/>
          <w:bdr w:val="nil"/>
          <w:lang w:val="fr-FR" w:eastAsia="fr-FR"/>
        </w:rPr>
        <w:t xml:space="preserve"> </w:t>
      </w:r>
      <w:r w:rsidR="00E2320A">
        <w:rPr>
          <w:sz w:val="28"/>
          <w:bdr w:val="nil"/>
          <w:lang w:val="fr-FR" w:eastAsia="fr-FR"/>
        </w:rPr>
        <w:t>2</w:t>
      </w:r>
      <w:r w:rsidR="006665AE">
        <w:rPr>
          <w:sz w:val="28"/>
          <w:bdr w:val="nil"/>
          <w:lang w:val="fr-FR" w:eastAsia="fr-FR"/>
        </w:rPr>
        <w:t>3</w:t>
      </w:r>
      <w:r w:rsidR="00DE47A7">
        <w:rPr>
          <w:sz w:val="28"/>
          <w:bdr w:val="nil"/>
          <w:lang w:val="fr-FR" w:eastAsia="fr-FR"/>
        </w:rPr>
        <w:t>/</w:t>
      </w:r>
      <w:r w:rsidR="00E2320A">
        <w:rPr>
          <w:sz w:val="28"/>
          <w:bdr w:val="nil"/>
          <w:lang w:val="fr-FR" w:eastAsia="fr-FR"/>
        </w:rPr>
        <w:t>2</w:t>
      </w:r>
      <w:r w:rsidR="006665AE">
        <w:rPr>
          <w:sz w:val="28"/>
          <w:bdr w:val="nil"/>
          <w:lang w:val="fr-FR" w:eastAsia="fr-FR"/>
        </w:rPr>
        <w:t>4</w:t>
      </w:r>
    </w:p>
    <w:p w14:paraId="5C8D69D6" w14:textId="77777777" w:rsidR="00D35BAA" w:rsidRPr="00AD3125" w:rsidRDefault="00D35BAA" w:rsidP="00D40570">
      <w:pPr>
        <w:spacing w:after="0"/>
        <w:jc w:val="both"/>
        <w:rPr>
          <w:lang w:val="fr-FR" w:eastAsia="fr-FR"/>
        </w:rPr>
      </w:pPr>
    </w:p>
    <w:p w14:paraId="1E8E9AFC" w14:textId="6D0BA9CC" w:rsidR="00F36F7A" w:rsidRDefault="00F36F7A" w:rsidP="00BE16FE">
      <w:pPr>
        <w:pStyle w:val="Paragraphedeliste"/>
        <w:numPr>
          <w:ilvl w:val="0"/>
          <w:numId w:val="3"/>
        </w:numPr>
        <w:jc w:val="both"/>
        <w:rPr>
          <w:rFonts w:asciiTheme="majorHAnsi" w:hAnsiTheme="majorHAnsi"/>
          <w:b/>
          <w:lang w:val="fr-FR" w:eastAsia="en-US"/>
        </w:rPr>
      </w:pPr>
      <w:r>
        <w:rPr>
          <w:rFonts w:asciiTheme="majorHAnsi" w:hAnsiTheme="majorHAnsi"/>
          <w:b/>
          <w:lang w:val="fr-FR" w:eastAsia="en-US"/>
        </w:rPr>
        <w:t>Composante :</w:t>
      </w:r>
      <w:r w:rsidR="003A1A57">
        <w:rPr>
          <w:rFonts w:asciiTheme="majorHAnsi" w:hAnsiTheme="majorHAnsi"/>
          <w:b/>
          <w:lang w:val="fr-FR" w:eastAsia="en-US"/>
        </w:rPr>
        <w:t xml:space="preserve"> IUT Villetaneuse</w:t>
      </w:r>
      <w:r w:rsidR="003A1A57">
        <w:rPr>
          <w:rFonts w:asciiTheme="majorHAnsi" w:hAnsiTheme="majorHAnsi"/>
          <w:b/>
          <w:lang w:val="fr-FR" w:eastAsia="en-US"/>
        </w:rPr>
        <w:tab/>
      </w:r>
    </w:p>
    <w:p w14:paraId="4AE1F01A" w14:textId="6733B605" w:rsidR="00F36F7A" w:rsidRDefault="00F36F7A" w:rsidP="00BE16FE">
      <w:pPr>
        <w:pStyle w:val="Paragraphedeliste"/>
        <w:numPr>
          <w:ilvl w:val="0"/>
          <w:numId w:val="3"/>
        </w:numPr>
        <w:jc w:val="both"/>
        <w:rPr>
          <w:rFonts w:asciiTheme="majorHAnsi" w:hAnsiTheme="majorHAnsi"/>
          <w:b/>
          <w:lang w:val="fr-FR" w:eastAsia="en-US"/>
        </w:rPr>
      </w:pPr>
      <w:r>
        <w:rPr>
          <w:rFonts w:asciiTheme="majorHAnsi" w:hAnsiTheme="majorHAnsi"/>
          <w:b/>
          <w:lang w:val="fr-FR" w:eastAsia="en-US"/>
        </w:rPr>
        <w:t>Nom de la Mention :</w:t>
      </w:r>
      <w:r w:rsidR="003A1A57">
        <w:rPr>
          <w:rFonts w:asciiTheme="majorHAnsi" w:hAnsiTheme="majorHAnsi"/>
          <w:b/>
          <w:lang w:val="fr-FR" w:eastAsia="en-US"/>
        </w:rPr>
        <w:t xml:space="preserve"> </w:t>
      </w:r>
      <w:proofErr w:type="spellStart"/>
      <w:r w:rsidR="003A1A57">
        <w:rPr>
          <w:rFonts w:asciiTheme="majorHAnsi" w:hAnsiTheme="majorHAnsi"/>
          <w:b/>
          <w:lang w:val="fr-FR" w:eastAsia="en-US"/>
        </w:rPr>
        <w:t>Bachelor</w:t>
      </w:r>
      <w:proofErr w:type="spellEnd"/>
      <w:r w:rsidR="003A1A57">
        <w:rPr>
          <w:rFonts w:asciiTheme="majorHAnsi" w:hAnsiTheme="majorHAnsi"/>
          <w:b/>
          <w:lang w:val="fr-FR" w:eastAsia="en-US"/>
        </w:rPr>
        <w:t xml:space="preserve"> Universitaire de Technologie</w:t>
      </w:r>
    </w:p>
    <w:p w14:paraId="1AC31BAE" w14:textId="4A099D41" w:rsidR="00F36F7A" w:rsidRDefault="00F36F7A" w:rsidP="00F36F7A">
      <w:pPr>
        <w:pStyle w:val="Paragraphedeliste"/>
        <w:jc w:val="both"/>
        <w:rPr>
          <w:rFonts w:asciiTheme="majorHAnsi" w:hAnsiTheme="majorHAnsi"/>
          <w:b/>
          <w:lang w:val="fr-FR" w:eastAsia="en-US"/>
        </w:rPr>
      </w:pPr>
    </w:p>
    <w:p w14:paraId="09C1B7E5" w14:textId="722ED052" w:rsidR="00F36F7A" w:rsidRPr="00F36F7A" w:rsidRDefault="004E325F" w:rsidP="00F36F7A">
      <w:pPr>
        <w:pStyle w:val="Paragraphedeliste"/>
        <w:numPr>
          <w:ilvl w:val="0"/>
          <w:numId w:val="3"/>
        </w:numPr>
        <w:jc w:val="both"/>
        <w:rPr>
          <w:rFonts w:asciiTheme="majorHAnsi" w:hAnsiTheme="majorHAnsi"/>
          <w:b/>
          <w:lang w:val="fr-FR" w:eastAsia="en-US"/>
        </w:rPr>
      </w:pPr>
      <w:r w:rsidRPr="00FC1251">
        <w:rPr>
          <w:rFonts w:asciiTheme="majorHAnsi" w:hAnsiTheme="majorHAnsi"/>
          <w:b/>
          <w:lang w:val="fr-FR" w:eastAsia="en-US"/>
        </w:rPr>
        <w:t>Date de validation par le conseil de composante</w:t>
      </w:r>
      <w:r w:rsidR="00F36F7A">
        <w:rPr>
          <w:rFonts w:asciiTheme="majorHAnsi" w:hAnsiTheme="majorHAnsi"/>
          <w:b/>
          <w:lang w:val="fr-FR" w:eastAsia="en-US"/>
        </w:rPr>
        <w:t xml:space="preserve"> : </w:t>
      </w:r>
      <w:r w:rsidR="006665AE">
        <w:rPr>
          <w:rFonts w:asciiTheme="majorHAnsi" w:hAnsiTheme="majorHAnsi"/>
          <w:b/>
          <w:lang w:val="fr-FR" w:eastAsia="en-US"/>
        </w:rPr>
        <w:t>08</w:t>
      </w:r>
      <w:r w:rsidR="00D62DD2">
        <w:rPr>
          <w:rFonts w:asciiTheme="majorHAnsi" w:hAnsiTheme="majorHAnsi"/>
          <w:b/>
          <w:lang w:val="fr-FR" w:eastAsia="en-US"/>
        </w:rPr>
        <w:t>/06/202</w:t>
      </w:r>
      <w:r w:rsidR="006665AE">
        <w:rPr>
          <w:rFonts w:asciiTheme="majorHAnsi" w:hAnsiTheme="majorHAnsi"/>
          <w:b/>
          <w:lang w:val="fr-FR" w:eastAsia="en-US"/>
        </w:rPr>
        <w:t>3</w:t>
      </w:r>
    </w:p>
    <w:p w14:paraId="4452028B" w14:textId="7D1D56B5" w:rsidR="00467374" w:rsidRPr="00FC1251" w:rsidRDefault="00F36F7A" w:rsidP="00BE16FE">
      <w:pPr>
        <w:pStyle w:val="Paragraphedeliste"/>
        <w:numPr>
          <w:ilvl w:val="0"/>
          <w:numId w:val="3"/>
        </w:numPr>
        <w:jc w:val="both"/>
        <w:rPr>
          <w:rFonts w:asciiTheme="majorHAnsi" w:hAnsiTheme="majorHAnsi"/>
          <w:b/>
          <w:lang w:val="fr-FR" w:eastAsia="en-US"/>
        </w:rPr>
      </w:pPr>
      <w:r>
        <w:rPr>
          <w:rFonts w:asciiTheme="majorHAnsi" w:hAnsiTheme="majorHAnsi"/>
          <w:b/>
          <w:lang w:val="fr-FR" w:eastAsia="en-US"/>
        </w:rPr>
        <w:t xml:space="preserve">Date de validation en CFVU : </w:t>
      </w:r>
      <w:r w:rsidR="006665AE">
        <w:rPr>
          <w:rFonts w:asciiTheme="majorHAnsi" w:hAnsiTheme="majorHAnsi"/>
          <w:b/>
          <w:lang w:val="fr-FR" w:eastAsia="en-US"/>
        </w:rPr>
        <w:t>29/06/2023</w:t>
      </w:r>
    </w:p>
    <w:p w14:paraId="7B43C924" w14:textId="3297892D" w:rsidR="00467374" w:rsidRPr="00CE0DDD" w:rsidRDefault="00467374" w:rsidP="00BE16FE">
      <w:pPr>
        <w:pStyle w:val="Titre2"/>
        <w:numPr>
          <w:ilvl w:val="0"/>
          <w:numId w:val="10"/>
        </w:numPr>
        <w:rPr>
          <w:rFonts w:asciiTheme="minorHAnsi" w:hAnsiTheme="minorHAnsi"/>
          <w:color w:val="1F497D" w:themeColor="text2"/>
          <w:sz w:val="24"/>
          <w:lang w:val="fr-FR"/>
        </w:rPr>
      </w:pPr>
      <w:r w:rsidRPr="00CE0DDD">
        <w:rPr>
          <w:rFonts w:asciiTheme="minorHAnsi" w:hAnsiTheme="minorHAnsi"/>
          <w:color w:val="1F497D" w:themeColor="text2"/>
          <w:sz w:val="24"/>
          <w:lang w:val="fr-FR"/>
        </w:rPr>
        <w:t xml:space="preserve">L’architecture de la mention : </w:t>
      </w:r>
      <w:r w:rsidR="00F36F7A" w:rsidRPr="00CE0DDD">
        <w:rPr>
          <w:rFonts w:asciiTheme="minorHAnsi" w:hAnsiTheme="minorHAnsi"/>
          <w:color w:val="1F497D" w:themeColor="text2"/>
          <w:sz w:val="24"/>
          <w:lang w:val="fr-FR"/>
        </w:rPr>
        <w:t xml:space="preserve">indiquer tous les </w:t>
      </w:r>
      <w:r w:rsidR="002035E2" w:rsidRPr="00CE0DDD">
        <w:rPr>
          <w:rFonts w:asciiTheme="minorHAnsi" w:hAnsiTheme="minorHAnsi"/>
          <w:color w:val="1F497D" w:themeColor="text2"/>
          <w:sz w:val="24"/>
          <w:lang w:val="fr-FR"/>
        </w:rPr>
        <w:t>parcours</w:t>
      </w:r>
      <w:r w:rsidR="00F36F7A" w:rsidRPr="00CE0DDD">
        <w:rPr>
          <w:rFonts w:asciiTheme="minorHAnsi" w:hAnsiTheme="minorHAnsi"/>
          <w:color w:val="1F497D" w:themeColor="text2"/>
          <w:sz w:val="24"/>
          <w:lang w:val="fr-FR"/>
        </w:rPr>
        <w:t xml:space="preserve"> associés à la mention</w:t>
      </w:r>
    </w:p>
    <w:p w14:paraId="57231D67" w14:textId="77777777" w:rsidR="00F36F7A" w:rsidRPr="00DB14DA" w:rsidRDefault="00F36F7A" w:rsidP="00F36F7A">
      <w:pPr>
        <w:rPr>
          <w:sz w:val="2"/>
          <w:lang w:val="fr-FR"/>
        </w:rPr>
      </w:pPr>
    </w:p>
    <w:tbl>
      <w:tblPr>
        <w:tblStyle w:val="Grilledutableau"/>
        <w:tblW w:w="9918" w:type="dxa"/>
        <w:tblLook w:val="04A0" w:firstRow="1" w:lastRow="0" w:firstColumn="1" w:lastColumn="0" w:noHBand="0" w:noVBand="1"/>
      </w:tblPr>
      <w:tblGrid>
        <w:gridCol w:w="1696"/>
        <w:gridCol w:w="709"/>
        <w:gridCol w:w="7513"/>
      </w:tblGrid>
      <w:tr w:rsidR="003A1A57" w:rsidRPr="00C96435" w14:paraId="31D71979" w14:textId="77777777" w:rsidTr="00867F06">
        <w:trPr>
          <w:trHeight w:val="294"/>
        </w:trPr>
        <w:tc>
          <w:tcPr>
            <w:tcW w:w="1696" w:type="dxa"/>
            <w:vMerge w:val="restart"/>
            <w:vAlign w:val="center"/>
          </w:tcPr>
          <w:p w14:paraId="6528C41D" w14:textId="0C6496F6" w:rsidR="003A1A57" w:rsidRPr="003A1A57" w:rsidRDefault="003A1A57" w:rsidP="003A1A57">
            <w:pPr>
              <w:jc w:val="center"/>
              <w:rPr>
                <w:b/>
                <w:i/>
              </w:rPr>
            </w:pPr>
            <w:r w:rsidRPr="003A1A57">
              <w:rPr>
                <w:b/>
                <w:i/>
                <w:sz w:val="52"/>
              </w:rPr>
              <w:t>BUT</w:t>
            </w:r>
          </w:p>
        </w:tc>
        <w:tc>
          <w:tcPr>
            <w:tcW w:w="709" w:type="dxa"/>
          </w:tcPr>
          <w:p w14:paraId="60A361B1" w14:textId="25FC8FE3" w:rsidR="003A1A57" w:rsidRDefault="003A1A57" w:rsidP="00A44453">
            <w:pPr>
              <w:jc w:val="both"/>
              <w:rPr>
                <w:i/>
              </w:rPr>
            </w:pPr>
            <w:r>
              <w:rPr>
                <w:i/>
              </w:rPr>
              <w:t>CJ</w:t>
            </w:r>
          </w:p>
        </w:tc>
        <w:tc>
          <w:tcPr>
            <w:tcW w:w="7513" w:type="dxa"/>
          </w:tcPr>
          <w:p w14:paraId="3D18042E" w14:textId="3A06FAD6" w:rsidR="003A1A57" w:rsidRDefault="00E02F42" w:rsidP="00A44453">
            <w:pPr>
              <w:jc w:val="both"/>
              <w:rPr>
                <w:i/>
                <w:sz w:val="24"/>
                <w:szCs w:val="24"/>
              </w:rPr>
            </w:pPr>
            <w:r>
              <w:rPr>
                <w:i/>
                <w:sz w:val="24"/>
                <w:szCs w:val="24"/>
              </w:rPr>
              <w:t>Parcours Administration et justice</w:t>
            </w:r>
            <w:r w:rsidR="008F7BB0">
              <w:rPr>
                <w:i/>
                <w:sz w:val="24"/>
                <w:szCs w:val="24"/>
              </w:rPr>
              <w:t xml:space="preserve"> - FI</w:t>
            </w:r>
          </w:p>
          <w:p w14:paraId="138DDF52" w14:textId="43EC059E" w:rsidR="00E02F42" w:rsidRDefault="00E02F42" w:rsidP="00A44453">
            <w:pPr>
              <w:jc w:val="both"/>
              <w:rPr>
                <w:i/>
                <w:sz w:val="24"/>
                <w:szCs w:val="24"/>
              </w:rPr>
            </w:pPr>
            <w:r>
              <w:rPr>
                <w:i/>
                <w:sz w:val="24"/>
                <w:szCs w:val="24"/>
              </w:rPr>
              <w:t>Parcours Entreprise et association</w:t>
            </w:r>
            <w:r w:rsidR="008F7BB0">
              <w:rPr>
                <w:i/>
                <w:sz w:val="24"/>
                <w:szCs w:val="24"/>
              </w:rPr>
              <w:t xml:space="preserve"> – FI, FA</w:t>
            </w:r>
          </w:p>
          <w:p w14:paraId="76E7B351" w14:textId="2453F345" w:rsidR="00E02F42" w:rsidRPr="006E0E5B" w:rsidRDefault="00E02F42" w:rsidP="00A44453">
            <w:pPr>
              <w:jc w:val="both"/>
              <w:rPr>
                <w:i/>
                <w:sz w:val="24"/>
                <w:szCs w:val="24"/>
              </w:rPr>
            </w:pPr>
            <w:r>
              <w:rPr>
                <w:i/>
                <w:sz w:val="24"/>
                <w:szCs w:val="24"/>
              </w:rPr>
              <w:t>Parcours Patrimoine et finance</w:t>
            </w:r>
            <w:r w:rsidR="008F7BB0">
              <w:rPr>
                <w:i/>
                <w:sz w:val="24"/>
                <w:szCs w:val="24"/>
              </w:rPr>
              <w:t xml:space="preserve"> – FI</w:t>
            </w:r>
          </w:p>
        </w:tc>
      </w:tr>
      <w:tr w:rsidR="003A1A57" w:rsidRPr="00C96435" w14:paraId="387CDC0C" w14:textId="77777777" w:rsidTr="00867F06">
        <w:trPr>
          <w:trHeight w:val="327"/>
        </w:trPr>
        <w:tc>
          <w:tcPr>
            <w:tcW w:w="1696" w:type="dxa"/>
            <w:vMerge/>
            <w:vAlign w:val="center"/>
          </w:tcPr>
          <w:p w14:paraId="3509806F" w14:textId="77777777" w:rsidR="003A1A57" w:rsidRDefault="003A1A57" w:rsidP="003A1A57">
            <w:pPr>
              <w:jc w:val="center"/>
              <w:rPr>
                <w:i/>
              </w:rPr>
            </w:pPr>
          </w:p>
        </w:tc>
        <w:tc>
          <w:tcPr>
            <w:tcW w:w="709" w:type="dxa"/>
          </w:tcPr>
          <w:p w14:paraId="2065E911" w14:textId="1A511E70" w:rsidR="003A1A57" w:rsidRDefault="003A1A57" w:rsidP="00A44453">
            <w:pPr>
              <w:jc w:val="both"/>
              <w:rPr>
                <w:i/>
              </w:rPr>
            </w:pPr>
            <w:r>
              <w:rPr>
                <w:i/>
              </w:rPr>
              <w:t>GEA</w:t>
            </w:r>
          </w:p>
        </w:tc>
        <w:tc>
          <w:tcPr>
            <w:tcW w:w="7513" w:type="dxa"/>
          </w:tcPr>
          <w:p w14:paraId="078690AA" w14:textId="77777777" w:rsidR="003A1A57" w:rsidRDefault="00393251" w:rsidP="00A44453">
            <w:pPr>
              <w:jc w:val="both"/>
              <w:rPr>
                <w:i/>
                <w:sz w:val="24"/>
                <w:szCs w:val="24"/>
              </w:rPr>
            </w:pPr>
            <w:r>
              <w:rPr>
                <w:i/>
                <w:sz w:val="24"/>
                <w:szCs w:val="24"/>
              </w:rPr>
              <w:t>Parcours Gestion comptable, fiscale et financière – FI, FA</w:t>
            </w:r>
          </w:p>
          <w:p w14:paraId="177D02E1" w14:textId="77777777" w:rsidR="00393251" w:rsidRDefault="00393251" w:rsidP="00A44453">
            <w:pPr>
              <w:jc w:val="both"/>
              <w:rPr>
                <w:i/>
                <w:sz w:val="24"/>
                <w:szCs w:val="24"/>
              </w:rPr>
            </w:pPr>
            <w:r>
              <w:rPr>
                <w:i/>
                <w:sz w:val="24"/>
                <w:szCs w:val="24"/>
              </w:rPr>
              <w:t>Parcours Gestion et pilotage des ressources humaines – FI, FA</w:t>
            </w:r>
          </w:p>
          <w:p w14:paraId="5E29E50D" w14:textId="77777777" w:rsidR="00393251" w:rsidRDefault="00393251" w:rsidP="00A44453">
            <w:pPr>
              <w:jc w:val="both"/>
              <w:rPr>
                <w:i/>
                <w:sz w:val="24"/>
                <w:szCs w:val="24"/>
              </w:rPr>
            </w:pPr>
            <w:r>
              <w:rPr>
                <w:i/>
                <w:sz w:val="24"/>
                <w:szCs w:val="24"/>
              </w:rPr>
              <w:t>Parcours Gestion entreprenariat et management d’activité – FI, FA</w:t>
            </w:r>
          </w:p>
          <w:p w14:paraId="00AAEE19" w14:textId="030951ED" w:rsidR="00867F06" w:rsidRPr="00867F06" w:rsidRDefault="00867F06" w:rsidP="00A44453">
            <w:pPr>
              <w:jc w:val="both"/>
              <w:rPr>
                <w:i/>
                <w:sz w:val="24"/>
                <w:szCs w:val="24"/>
              </w:rPr>
            </w:pPr>
            <w:r w:rsidRPr="00867F06">
              <w:rPr>
                <w:i/>
              </w:rPr>
              <w:t xml:space="preserve">CG2P Contrôle de Gestion et Pilotage de </w:t>
            </w:r>
            <w:r w:rsidR="00E45441">
              <w:rPr>
                <w:i/>
              </w:rPr>
              <w:t>la Performance uniquement en FI</w:t>
            </w:r>
          </w:p>
        </w:tc>
      </w:tr>
      <w:tr w:rsidR="003A1A57" w:rsidRPr="00C96435" w14:paraId="56687F18" w14:textId="77777777" w:rsidTr="00867F06">
        <w:trPr>
          <w:trHeight w:val="621"/>
        </w:trPr>
        <w:tc>
          <w:tcPr>
            <w:tcW w:w="1696" w:type="dxa"/>
            <w:vMerge/>
            <w:vAlign w:val="center"/>
          </w:tcPr>
          <w:p w14:paraId="73903A0F" w14:textId="77777777" w:rsidR="003A1A57" w:rsidRDefault="003A1A57" w:rsidP="003A1A57">
            <w:pPr>
              <w:jc w:val="center"/>
              <w:rPr>
                <w:i/>
              </w:rPr>
            </w:pPr>
          </w:p>
        </w:tc>
        <w:tc>
          <w:tcPr>
            <w:tcW w:w="709" w:type="dxa"/>
          </w:tcPr>
          <w:p w14:paraId="455AAFE0" w14:textId="49198856" w:rsidR="003A1A57" w:rsidRDefault="003A1A57" w:rsidP="00A44453">
            <w:pPr>
              <w:jc w:val="both"/>
              <w:rPr>
                <w:i/>
              </w:rPr>
            </w:pPr>
            <w:r>
              <w:rPr>
                <w:i/>
              </w:rPr>
              <w:t>GEII</w:t>
            </w:r>
          </w:p>
        </w:tc>
        <w:tc>
          <w:tcPr>
            <w:tcW w:w="7513" w:type="dxa"/>
          </w:tcPr>
          <w:p w14:paraId="078066A7" w14:textId="77777777" w:rsidR="003A1A57" w:rsidRDefault="003A1A57" w:rsidP="00A44453">
            <w:pPr>
              <w:jc w:val="both"/>
              <w:rPr>
                <w:i/>
                <w:sz w:val="24"/>
                <w:szCs w:val="24"/>
              </w:rPr>
            </w:pPr>
            <w:r>
              <w:rPr>
                <w:i/>
                <w:sz w:val="24"/>
                <w:szCs w:val="24"/>
              </w:rPr>
              <w:t>Parcours Electricité et Maitrise de l’Energie (EME) – FI, FA</w:t>
            </w:r>
          </w:p>
          <w:p w14:paraId="4319F8BF" w14:textId="63EEC3DF" w:rsidR="00E02F42" w:rsidRPr="006E0E5B" w:rsidRDefault="00E02F42" w:rsidP="00A44453">
            <w:pPr>
              <w:jc w:val="both"/>
              <w:rPr>
                <w:i/>
              </w:rPr>
            </w:pPr>
            <w:r>
              <w:rPr>
                <w:i/>
                <w:sz w:val="24"/>
                <w:szCs w:val="24"/>
              </w:rPr>
              <w:t>Parcours Electronique et Systèmes Embarqués (ESE) - FI</w:t>
            </w:r>
          </w:p>
        </w:tc>
      </w:tr>
      <w:tr w:rsidR="003A1A57" w:rsidRPr="00C96435" w14:paraId="6E92151B" w14:textId="77777777" w:rsidTr="00867F06">
        <w:trPr>
          <w:trHeight w:val="294"/>
        </w:trPr>
        <w:tc>
          <w:tcPr>
            <w:tcW w:w="1696" w:type="dxa"/>
            <w:vMerge/>
            <w:vAlign w:val="center"/>
          </w:tcPr>
          <w:p w14:paraId="39894AD0" w14:textId="77777777" w:rsidR="003A1A57" w:rsidRDefault="003A1A57" w:rsidP="003A1A57">
            <w:pPr>
              <w:jc w:val="center"/>
              <w:rPr>
                <w:i/>
              </w:rPr>
            </w:pPr>
          </w:p>
        </w:tc>
        <w:tc>
          <w:tcPr>
            <w:tcW w:w="709" w:type="dxa"/>
          </w:tcPr>
          <w:p w14:paraId="21FDADF7" w14:textId="5CC2D59A" w:rsidR="003A1A57" w:rsidRDefault="003A1A57" w:rsidP="00A44453">
            <w:pPr>
              <w:jc w:val="both"/>
              <w:rPr>
                <w:i/>
              </w:rPr>
            </w:pPr>
            <w:r>
              <w:rPr>
                <w:i/>
              </w:rPr>
              <w:t>Info</w:t>
            </w:r>
          </w:p>
        </w:tc>
        <w:tc>
          <w:tcPr>
            <w:tcW w:w="7513" w:type="dxa"/>
          </w:tcPr>
          <w:p w14:paraId="1C07B406" w14:textId="11AD75C7" w:rsidR="003A1A57" w:rsidRPr="006E0E5B" w:rsidRDefault="008F7BB0" w:rsidP="00A44453">
            <w:pPr>
              <w:jc w:val="both"/>
              <w:rPr>
                <w:i/>
              </w:rPr>
            </w:pPr>
            <w:r>
              <w:rPr>
                <w:i/>
              </w:rPr>
              <w:t>Parcours Réalisation d’applications : conception, développement, validation</w:t>
            </w:r>
            <w:r w:rsidR="00944724">
              <w:rPr>
                <w:i/>
              </w:rPr>
              <w:t xml:space="preserve"> – FI, FA</w:t>
            </w:r>
          </w:p>
        </w:tc>
      </w:tr>
      <w:tr w:rsidR="003A1A57" w:rsidRPr="00C96435" w14:paraId="7483991C" w14:textId="77777777" w:rsidTr="00867F06">
        <w:trPr>
          <w:trHeight w:val="294"/>
        </w:trPr>
        <w:tc>
          <w:tcPr>
            <w:tcW w:w="1696" w:type="dxa"/>
            <w:vMerge/>
            <w:vAlign w:val="center"/>
          </w:tcPr>
          <w:p w14:paraId="0E73E93E" w14:textId="77777777" w:rsidR="003A1A57" w:rsidRDefault="003A1A57" w:rsidP="003A1A57">
            <w:pPr>
              <w:jc w:val="center"/>
              <w:rPr>
                <w:i/>
              </w:rPr>
            </w:pPr>
          </w:p>
        </w:tc>
        <w:tc>
          <w:tcPr>
            <w:tcW w:w="709" w:type="dxa"/>
          </w:tcPr>
          <w:p w14:paraId="4B2935A2" w14:textId="684732C7" w:rsidR="003A1A57" w:rsidRDefault="003A1A57" w:rsidP="00A44453">
            <w:pPr>
              <w:jc w:val="both"/>
              <w:rPr>
                <w:i/>
              </w:rPr>
            </w:pPr>
            <w:r>
              <w:rPr>
                <w:i/>
              </w:rPr>
              <w:t>R&amp;T</w:t>
            </w:r>
          </w:p>
        </w:tc>
        <w:tc>
          <w:tcPr>
            <w:tcW w:w="7513" w:type="dxa"/>
          </w:tcPr>
          <w:p w14:paraId="7F80BF13" w14:textId="23685950" w:rsidR="003A1A57" w:rsidRDefault="00393251" w:rsidP="00A44453">
            <w:pPr>
              <w:jc w:val="both"/>
              <w:rPr>
                <w:i/>
              </w:rPr>
            </w:pPr>
            <w:r>
              <w:rPr>
                <w:i/>
              </w:rPr>
              <w:t xml:space="preserve">Parcours </w:t>
            </w:r>
            <w:proofErr w:type="spellStart"/>
            <w:r w:rsidR="004F78E2">
              <w:rPr>
                <w:i/>
              </w:rPr>
              <w:t>CyberSécurité</w:t>
            </w:r>
            <w:proofErr w:type="spellEnd"/>
            <w:r>
              <w:rPr>
                <w:i/>
              </w:rPr>
              <w:t xml:space="preserve"> – FI, FA</w:t>
            </w:r>
          </w:p>
          <w:p w14:paraId="06FB5F4C" w14:textId="5616CE34" w:rsidR="004F78E2" w:rsidRPr="006E0E5B" w:rsidRDefault="004F78E2" w:rsidP="00A44453">
            <w:pPr>
              <w:jc w:val="both"/>
              <w:rPr>
                <w:i/>
              </w:rPr>
            </w:pPr>
            <w:r>
              <w:rPr>
                <w:i/>
              </w:rPr>
              <w:t>Parcours ROM - FA</w:t>
            </w:r>
          </w:p>
        </w:tc>
      </w:tr>
      <w:tr w:rsidR="003A1A57" w:rsidRPr="00C96435" w14:paraId="28A24EA0" w14:textId="77777777" w:rsidTr="00867F06">
        <w:trPr>
          <w:trHeight w:val="572"/>
        </w:trPr>
        <w:tc>
          <w:tcPr>
            <w:tcW w:w="1696" w:type="dxa"/>
            <w:vMerge/>
            <w:vAlign w:val="center"/>
          </w:tcPr>
          <w:p w14:paraId="278455A0" w14:textId="77777777" w:rsidR="003A1A57" w:rsidRDefault="003A1A57" w:rsidP="003A1A57">
            <w:pPr>
              <w:jc w:val="center"/>
              <w:rPr>
                <w:i/>
              </w:rPr>
            </w:pPr>
          </w:p>
        </w:tc>
        <w:tc>
          <w:tcPr>
            <w:tcW w:w="709" w:type="dxa"/>
          </w:tcPr>
          <w:p w14:paraId="44C165A5" w14:textId="509CB5D3" w:rsidR="003A1A57" w:rsidRDefault="006C23B9" w:rsidP="00A44453">
            <w:pPr>
              <w:jc w:val="both"/>
              <w:rPr>
                <w:i/>
              </w:rPr>
            </w:pPr>
            <w:r>
              <w:rPr>
                <w:i/>
              </w:rPr>
              <w:t>S</w:t>
            </w:r>
            <w:r w:rsidR="003A1A57">
              <w:rPr>
                <w:i/>
              </w:rPr>
              <w:t>D</w:t>
            </w:r>
          </w:p>
        </w:tc>
        <w:tc>
          <w:tcPr>
            <w:tcW w:w="7513" w:type="dxa"/>
          </w:tcPr>
          <w:p w14:paraId="4A653B57" w14:textId="26F8373F" w:rsidR="003A1A57" w:rsidRPr="006E0E5B" w:rsidRDefault="003A1A57" w:rsidP="00A44453">
            <w:pPr>
              <w:jc w:val="both"/>
              <w:rPr>
                <w:i/>
              </w:rPr>
            </w:pPr>
            <w:bookmarkStart w:id="0" w:name="_GoBack"/>
            <w:bookmarkEnd w:id="0"/>
            <w:r>
              <w:rPr>
                <w:i/>
              </w:rPr>
              <w:t>Exploration et Modélisation Statistiques</w:t>
            </w:r>
            <w:r w:rsidR="008F7BB0">
              <w:rPr>
                <w:i/>
              </w:rPr>
              <w:t xml:space="preserve"> – FI, FA</w:t>
            </w:r>
          </w:p>
        </w:tc>
      </w:tr>
    </w:tbl>
    <w:p w14:paraId="538F7A15" w14:textId="77777777" w:rsidR="007F3EB3" w:rsidRDefault="007F3EB3" w:rsidP="006E0E5B">
      <w:pPr>
        <w:jc w:val="both"/>
        <w:rPr>
          <w:b/>
          <w:color w:val="1F497D" w:themeColor="text2"/>
          <w:sz w:val="10"/>
          <w:szCs w:val="10"/>
          <w:lang w:val="fr-FR" w:eastAsia="en-US"/>
        </w:rPr>
      </w:pPr>
    </w:p>
    <w:p w14:paraId="32303F94" w14:textId="2C7321A3" w:rsidR="001142DC" w:rsidRPr="00BE16FE" w:rsidRDefault="001142DC" w:rsidP="00BE16FE">
      <w:pPr>
        <w:pStyle w:val="Paragraphedeliste"/>
        <w:numPr>
          <w:ilvl w:val="0"/>
          <w:numId w:val="10"/>
        </w:numPr>
        <w:spacing w:after="0"/>
        <w:jc w:val="both"/>
        <w:rPr>
          <w:b/>
          <w:color w:val="1F497D" w:themeColor="text2"/>
          <w:lang w:val="fr-FR" w:eastAsia="en-US"/>
        </w:rPr>
      </w:pPr>
      <w:r w:rsidRPr="00BE16FE">
        <w:rPr>
          <w:b/>
          <w:color w:val="1F497D" w:themeColor="text2"/>
          <w:lang w:val="fr-FR" w:eastAsia="en-US"/>
        </w:rPr>
        <w:t>Inscription :</w:t>
      </w:r>
    </w:p>
    <w:p w14:paraId="65A5F158" w14:textId="012A9893" w:rsidR="001142DC" w:rsidRPr="00502FD5" w:rsidRDefault="001142DC" w:rsidP="00502FD5">
      <w:pPr>
        <w:spacing w:after="0"/>
        <w:ind w:left="360"/>
        <w:jc w:val="both"/>
        <w:rPr>
          <w:rFonts w:asciiTheme="majorHAnsi" w:hAnsiTheme="majorHAnsi"/>
          <w:lang w:val="fr-FR" w:eastAsia="en-US"/>
        </w:rPr>
      </w:pPr>
    </w:p>
    <w:p w14:paraId="128BC533" w14:textId="628F17AF" w:rsidR="00C64210" w:rsidRPr="0052092C" w:rsidRDefault="0052092C" w:rsidP="0052092C">
      <w:pPr>
        <w:rPr>
          <w:lang w:val="fr-FR"/>
        </w:rPr>
      </w:pPr>
      <w:r>
        <w:rPr>
          <w:lang w:val="fr-FR"/>
        </w:rPr>
        <w:t xml:space="preserve">a) </w:t>
      </w:r>
      <w:r w:rsidR="00C64210" w:rsidRPr="0052092C">
        <w:rPr>
          <w:lang w:val="fr-FR"/>
        </w:rPr>
        <w:t xml:space="preserve">L’inscription administrative en B.U.T. est obligatoire et annuelle. L’inscription pédagogique </w:t>
      </w:r>
      <w:proofErr w:type="gramStart"/>
      <w:r w:rsidR="00C64210" w:rsidRPr="0052092C">
        <w:rPr>
          <w:lang w:val="fr-FR"/>
        </w:rPr>
        <w:t>est</w:t>
      </w:r>
      <w:proofErr w:type="gramEnd"/>
      <w:r w:rsidR="00C64210" w:rsidRPr="0052092C">
        <w:rPr>
          <w:lang w:val="fr-FR"/>
        </w:rPr>
        <w:t xml:space="preserve"> obligatoire pour passer les contrôles correspondants. </w:t>
      </w:r>
    </w:p>
    <w:p w14:paraId="3A774F6B" w14:textId="195EC479" w:rsidR="00F36F7A" w:rsidRDefault="0052092C" w:rsidP="0052092C">
      <w:pPr>
        <w:rPr>
          <w:rFonts w:asciiTheme="majorHAnsi" w:hAnsiTheme="majorHAnsi"/>
          <w:lang w:val="fr-FR" w:eastAsia="en-US"/>
        </w:rPr>
      </w:pPr>
      <w:r>
        <w:rPr>
          <w:lang w:val="fr-FR"/>
        </w:rPr>
        <w:t xml:space="preserve">b) </w:t>
      </w:r>
      <w:r w:rsidR="0067101F" w:rsidRPr="0052092C">
        <w:rPr>
          <w:lang w:val="fr-FR"/>
        </w:rPr>
        <w:t xml:space="preserve">Admission des publics hors </w:t>
      </w:r>
      <w:proofErr w:type="spellStart"/>
      <w:r w:rsidR="006665AE">
        <w:rPr>
          <w:lang w:val="fr-FR"/>
        </w:rPr>
        <w:t>P</w:t>
      </w:r>
      <w:r w:rsidR="0067101F" w:rsidRPr="0052092C">
        <w:rPr>
          <w:lang w:val="fr-FR"/>
        </w:rPr>
        <w:t>arcoursup</w:t>
      </w:r>
      <w:proofErr w:type="spellEnd"/>
      <w:r>
        <w:rPr>
          <w:lang w:val="fr-FR"/>
        </w:rPr>
        <w:t> :</w:t>
      </w:r>
    </w:p>
    <w:p w14:paraId="61307DBD" w14:textId="77777777" w:rsidR="0067101F" w:rsidRPr="00D97005" w:rsidRDefault="0067101F" w:rsidP="0067101F">
      <w:pPr>
        <w:tabs>
          <w:tab w:val="left" w:pos="851"/>
        </w:tabs>
        <w:jc w:val="both"/>
        <w:rPr>
          <w:rFonts w:asciiTheme="majorHAnsi" w:hAnsiTheme="majorHAnsi"/>
          <w:lang w:val="fr-FR" w:eastAsia="en-US"/>
        </w:rPr>
      </w:pPr>
      <w:r w:rsidRPr="00D97005">
        <w:rPr>
          <w:rFonts w:asciiTheme="majorHAnsi" w:hAnsiTheme="majorHAnsi"/>
          <w:lang w:val="fr-FR" w:eastAsia="en-US"/>
        </w:rPr>
        <w:t xml:space="preserve">Des Unités d’Enseignement peuvent être obtenues par validation d’acquis professionnels (articles D. 613-38 à D. 613-50), par validation des acquis de l’expérience (articles R. 613-32 à R. 613-37), ou par validation d’études supérieures accomplies en France ou à l’étranger, par exemple en semestre Erasmus ou lors du parcours antérieur de l’étudiant. Cette validation se fait par UE entière, sous la forme de dispense, sans note. Les crédits européens correspondants sont acquis. En revanche, ces UE n’entrent pas dans le calcul des moyennes et des compensations. </w:t>
      </w:r>
    </w:p>
    <w:p w14:paraId="1C5494D4" w14:textId="77777777" w:rsidR="0067101F" w:rsidRPr="00D97005" w:rsidRDefault="0067101F" w:rsidP="0067101F">
      <w:pPr>
        <w:tabs>
          <w:tab w:val="left" w:pos="851"/>
        </w:tabs>
        <w:jc w:val="both"/>
        <w:rPr>
          <w:rFonts w:asciiTheme="majorHAnsi" w:hAnsiTheme="majorHAnsi"/>
          <w:lang w:val="fr-FR" w:eastAsia="en-US"/>
        </w:rPr>
      </w:pPr>
      <w:r w:rsidRPr="00D97005">
        <w:rPr>
          <w:rFonts w:asciiTheme="majorHAnsi" w:hAnsiTheme="majorHAnsi"/>
          <w:lang w:val="fr-FR" w:eastAsia="en-US"/>
        </w:rPr>
        <w:t>Les modalités de validation de ces UE sont définies dans les MCCC spécifiques à chaque spécialité de B.U.T.</w:t>
      </w:r>
    </w:p>
    <w:p w14:paraId="73DE4255" w14:textId="77777777" w:rsidR="0067101F" w:rsidRPr="0052092C" w:rsidRDefault="0067101F" w:rsidP="0067101F">
      <w:pPr>
        <w:tabs>
          <w:tab w:val="left" w:pos="851"/>
        </w:tabs>
        <w:jc w:val="both"/>
        <w:rPr>
          <w:rFonts w:asciiTheme="majorHAnsi" w:hAnsiTheme="majorHAnsi"/>
          <w:i/>
          <w:lang w:val="fr-FR" w:eastAsia="en-US"/>
        </w:rPr>
      </w:pPr>
      <w:r w:rsidRPr="0052092C">
        <w:rPr>
          <w:rFonts w:asciiTheme="majorHAnsi" w:hAnsiTheme="majorHAnsi"/>
          <w:i/>
          <w:lang w:val="fr-FR" w:eastAsia="en-US"/>
        </w:rPr>
        <w:t>Passerelles entrantes</w:t>
      </w:r>
    </w:p>
    <w:p w14:paraId="05AC3F2E" w14:textId="4F314E76" w:rsidR="003B3F33" w:rsidRDefault="0067101F" w:rsidP="00C96435">
      <w:pPr>
        <w:tabs>
          <w:tab w:val="left" w:pos="851"/>
        </w:tabs>
        <w:jc w:val="both"/>
        <w:rPr>
          <w:rFonts w:asciiTheme="majorHAnsi" w:hAnsiTheme="majorHAnsi"/>
          <w:lang w:val="fr-FR" w:eastAsia="en-US"/>
        </w:rPr>
      </w:pPr>
      <w:r w:rsidRPr="00D97005">
        <w:rPr>
          <w:rFonts w:asciiTheme="majorHAnsi" w:hAnsiTheme="majorHAnsi"/>
          <w:lang w:val="fr-FR" w:eastAsia="en-US"/>
        </w:rPr>
        <w:t>Les passerelles entrantes en cours de formation sont possibles, en particulier au semestres 3 et 5. Une commission d’admission présidée par le directeur de l’IUT est chargée d’examiner les demandes et de préciser le contrat pédagogique de l’entrant (le cas échéant en précisant les éventuelles dispenses ou reconnaissances d’UE, de semestre, d’année, de diplôme).</w:t>
      </w:r>
    </w:p>
    <w:p w14:paraId="319BE41A" w14:textId="77777777" w:rsidR="00C96435" w:rsidRPr="00C96435" w:rsidRDefault="00C96435" w:rsidP="00C96435">
      <w:pPr>
        <w:tabs>
          <w:tab w:val="left" w:pos="851"/>
        </w:tabs>
        <w:jc w:val="both"/>
        <w:rPr>
          <w:rFonts w:asciiTheme="majorHAnsi" w:hAnsiTheme="majorHAnsi"/>
          <w:lang w:val="fr-FR" w:eastAsia="en-US"/>
        </w:rPr>
      </w:pPr>
    </w:p>
    <w:p w14:paraId="5BD79449" w14:textId="5F0F9D5D" w:rsidR="004C192F" w:rsidRPr="00BE16FE" w:rsidRDefault="00F36F7A" w:rsidP="00C06F00">
      <w:pPr>
        <w:spacing w:after="0"/>
        <w:ind w:left="360"/>
        <w:jc w:val="both"/>
        <w:rPr>
          <w:b/>
          <w:color w:val="1F497D" w:themeColor="text2"/>
          <w:lang w:val="fr-FR" w:eastAsia="en-US"/>
        </w:rPr>
      </w:pPr>
      <w:r>
        <w:rPr>
          <w:b/>
          <w:color w:val="1F497D" w:themeColor="text2"/>
          <w:lang w:val="fr-FR" w:eastAsia="en-US"/>
        </w:rPr>
        <w:t>3</w:t>
      </w:r>
      <w:r w:rsidR="00BE16FE">
        <w:rPr>
          <w:b/>
          <w:color w:val="1F497D" w:themeColor="text2"/>
          <w:lang w:val="fr-FR" w:eastAsia="en-US"/>
        </w:rPr>
        <w:t xml:space="preserve">. </w:t>
      </w:r>
      <w:r w:rsidR="004C192F" w:rsidRPr="00BE16FE">
        <w:rPr>
          <w:b/>
          <w:color w:val="1F497D" w:themeColor="text2"/>
          <w:lang w:val="fr-FR" w:eastAsia="en-US"/>
        </w:rPr>
        <w:t>Les différentes règles de validation</w:t>
      </w:r>
    </w:p>
    <w:p w14:paraId="0201A6A6" w14:textId="77777777" w:rsidR="00074DE2" w:rsidRPr="00074DE2" w:rsidRDefault="00074DE2" w:rsidP="00074DE2">
      <w:pPr>
        <w:tabs>
          <w:tab w:val="left" w:pos="851"/>
        </w:tabs>
        <w:jc w:val="both"/>
        <w:rPr>
          <w:rFonts w:asciiTheme="majorHAnsi" w:hAnsiTheme="majorHAnsi"/>
          <w:lang w:val="fr-FR" w:eastAsia="en-US"/>
        </w:rPr>
      </w:pPr>
      <w:r w:rsidRPr="00074DE2">
        <w:rPr>
          <w:rFonts w:asciiTheme="majorHAnsi" w:hAnsiTheme="majorHAnsi"/>
          <w:lang w:val="fr-FR" w:eastAsia="en-US"/>
        </w:rPr>
        <w:t>A la fin de chaque semestre, une commission composée du Chef de Département, du Directeur des Études et de tous les enseignants se réunit afin d’étudier la situation de chaque étudiant.</w:t>
      </w:r>
    </w:p>
    <w:p w14:paraId="1462D618" w14:textId="77777777" w:rsidR="00074DE2" w:rsidRPr="00074DE2" w:rsidRDefault="00074DE2" w:rsidP="00074DE2">
      <w:pPr>
        <w:tabs>
          <w:tab w:val="left" w:pos="851"/>
        </w:tabs>
        <w:jc w:val="both"/>
        <w:rPr>
          <w:rFonts w:asciiTheme="majorHAnsi" w:hAnsiTheme="majorHAnsi"/>
          <w:lang w:val="fr-FR" w:eastAsia="en-US"/>
        </w:rPr>
      </w:pPr>
      <w:r w:rsidRPr="00074DE2">
        <w:rPr>
          <w:rFonts w:asciiTheme="majorHAnsi" w:hAnsiTheme="majorHAnsi"/>
          <w:lang w:val="fr-FR" w:eastAsia="en-US"/>
        </w:rPr>
        <w:t>La validation de tout semestre donne lieu à l’obtention de l’ensemble des unités d’enseignement qui le composent et des crédits européens correspondants.</w:t>
      </w:r>
    </w:p>
    <w:p w14:paraId="2EBC1B82" w14:textId="493FC222" w:rsidR="00074DE2" w:rsidRPr="00074DE2" w:rsidRDefault="00074DE2" w:rsidP="00074DE2">
      <w:pPr>
        <w:tabs>
          <w:tab w:val="left" w:pos="851"/>
        </w:tabs>
        <w:jc w:val="both"/>
        <w:rPr>
          <w:rFonts w:asciiTheme="majorHAnsi" w:hAnsiTheme="majorHAnsi"/>
          <w:lang w:val="fr-FR" w:eastAsia="en-US"/>
        </w:rPr>
      </w:pPr>
      <w:r w:rsidRPr="00074DE2">
        <w:rPr>
          <w:rFonts w:asciiTheme="majorHAnsi" w:hAnsiTheme="majorHAnsi"/>
          <w:lang w:val="fr-FR" w:eastAsia="en-US"/>
        </w:rPr>
        <w:t>Délivrance d’unités d’enseignements</w:t>
      </w:r>
      <w:r>
        <w:rPr>
          <w:rFonts w:asciiTheme="majorHAnsi" w:hAnsiTheme="majorHAnsi"/>
          <w:lang w:val="fr-FR" w:eastAsia="en-US"/>
        </w:rPr>
        <w:t xml:space="preserve"> (UE) :</w:t>
      </w:r>
      <w:r w:rsidRPr="00074DE2">
        <w:rPr>
          <w:rFonts w:asciiTheme="majorHAnsi" w:hAnsiTheme="majorHAnsi"/>
          <w:lang w:val="fr-FR" w:eastAsia="en-US"/>
        </w:rPr>
        <w:t xml:space="preserve"> </w:t>
      </w:r>
    </w:p>
    <w:p w14:paraId="6ED94F8B" w14:textId="77777777" w:rsidR="00074DE2" w:rsidRPr="00074DE2" w:rsidRDefault="00074DE2" w:rsidP="00074DE2">
      <w:pPr>
        <w:tabs>
          <w:tab w:val="left" w:pos="851"/>
        </w:tabs>
        <w:jc w:val="both"/>
        <w:rPr>
          <w:rFonts w:asciiTheme="majorHAnsi" w:hAnsiTheme="majorHAnsi"/>
          <w:lang w:val="fr-FR" w:eastAsia="en-US"/>
        </w:rPr>
      </w:pPr>
      <w:r w:rsidRPr="00074DE2">
        <w:rPr>
          <w:rFonts w:asciiTheme="majorHAnsi" w:hAnsiTheme="majorHAnsi"/>
          <w:lang w:val="fr-FR" w:eastAsia="en-US"/>
        </w:rPr>
        <w:t xml:space="preserve">La délivrance du </w:t>
      </w:r>
      <w:proofErr w:type="spellStart"/>
      <w:r w:rsidRPr="00074DE2">
        <w:rPr>
          <w:rFonts w:asciiTheme="majorHAnsi" w:hAnsiTheme="majorHAnsi"/>
          <w:lang w:val="fr-FR" w:eastAsia="en-US"/>
        </w:rPr>
        <w:t>Bachelor</w:t>
      </w:r>
      <w:proofErr w:type="spellEnd"/>
      <w:r w:rsidRPr="00074DE2">
        <w:rPr>
          <w:rFonts w:asciiTheme="majorHAnsi" w:hAnsiTheme="majorHAnsi"/>
          <w:lang w:val="fr-FR" w:eastAsia="en-US"/>
        </w:rPr>
        <w:t xml:space="preserve"> Universitaire de Technologie et du Diplôme Universitaire de Technologie donne lieu à l’obtention de l’ensemble des unités d’enseignement qui le composent.</w:t>
      </w:r>
    </w:p>
    <w:p w14:paraId="21CD6F0D" w14:textId="77777777" w:rsidR="00074DE2" w:rsidRPr="00074DE2" w:rsidRDefault="00074DE2" w:rsidP="00074DE2">
      <w:pPr>
        <w:tabs>
          <w:tab w:val="left" w:pos="851"/>
        </w:tabs>
        <w:jc w:val="both"/>
        <w:rPr>
          <w:rFonts w:asciiTheme="majorHAnsi" w:hAnsiTheme="majorHAnsi"/>
          <w:lang w:val="fr-FR" w:eastAsia="en-US"/>
        </w:rPr>
      </w:pPr>
      <w:r w:rsidRPr="00074DE2">
        <w:rPr>
          <w:rFonts w:asciiTheme="majorHAnsi" w:hAnsiTheme="majorHAnsi"/>
          <w:lang w:val="fr-FR" w:eastAsia="en-US"/>
        </w:rPr>
        <w:t>Les unités d’enseignement dans lesquelles la moyenne de 10 a été obtenue sont capitalisables notamment en vue de la reprise d’études en Formation Continue.</w:t>
      </w:r>
    </w:p>
    <w:p w14:paraId="6129FA65" w14:textId="77777777" w:rsidR="00074DE2" w:rsidRPr="00074DE2" w:rsidRDefault="00074DE2" w:rsidP="00074DE2">
      <w:pPr>
        <w:tabs>
          <w:tab w:val="left" w:pos="851"/>
        </w:tabs>
        <w:jc w:val="both"/>
        <w:rPr>
          <w:rFonts w:asciiTheme="majorHAnsi" w:hAnsiTheme="majorHAnsi"/>
          <w:lang w:val="fr-FR" w:eastAsia="en-US"/>
        </w:rPr>
      </w:pPr>
      <w:r w:rsidRPr="00074DE2">
        <w:rPr>
          <w:rFonts w:asciiTheme="majorHAnsi" w:hAnsiTheme="majorHAnsi"/>
          <w:lang w:val="fr-FR" w:eastAsia="en-US"/>
        </w:rPr>
        <w:t>Les étudiants qui sortent de l’IUT sans avoir obtenu le diplôme préparé reçoivent une attestation d’études comportant la liste des unités d’enseignement capitalisables qu’ils ont acquises, délivrée par le directeur de l’IUT.</w:t>
      </w:r>
    </w:p>
    <w:p w14:paraId="2277E922" w14:textId="77777777" w:rsidR="00074DE2" w:rsidRPr="00074DE2" w:rsidRDefault="00074DE2" w:rsidP="00074DE2">
      <w:pPr>
        <w:tabs>
          <w:tab w:val="left" w:pos="851"/>
        </w:tabs>
        <w:jc w:val="both"/>
        <w:rPr>
          <w:rFonts w:asciiTheme="majorHAnsi" w:hAnsiTheme="majorHAnsi"/>
          <w:lang w:val="fr-FR" w:eastAsia="en-US"/>
        </w:rPr>
      </w:pPr>
      <w:r w:rsidRPr="00074DE2">
        <w:rPr>
          <w:rFonts w:asciiTheme="majorHAnsi" w:hAnsiTheme="majorHAnsi"/>
          <w:lang w:val="fr-FR" w:eastAsia="en-US"/>
        </w:rPr>
        <w:t xml:space="preserve">Une UE est définitivement acquise et capitalisable dès lors que la moyenne à l’ensemble </w:t>
      </w:r>
      <w:proofErr w:type="spellStart"/>
      <w:r w:rsidRPr="00074DE2">
        <w:rPr>
          <w:rFonts w:asciiTheme="majorHAnsi" w:hAnsiTheme="majorHAnsi"/>
          <w:lang w:val="fr-FR" w:eastAsia="en-US"/>
        </w:rPr>
        <w:t>coefficienté</w:t>
      </w:r>
      <w:proofErr w:type="spellEnd"/>
      <w:r w:rsidRPr="00074DE2">
        <w:rPr>
          <w:rFonts w:asciiTheme="majorHAnsi" w:hAnsiTheme="majorHAnsi"/>
          <w:lang w:val="fr-FR" w:eastAsia="en-US"/>
        </w:rPr>
        <w:t xml:space="preserve"> « pôle ressources » et « SAÉ » est égale ou supérieure à 10. La compensation s’effectue au sein de chaque UE et entre les UE d’un même regroupement cohérent d’UE d’une compétence. La validation des deux UE d’un même niveau de compétence entraîne la validation de l’ensemble des UE de niveau inférieur non acquises de cette même compétence. </w:t>
      </w:r>
    </w:p>
    <w:p w14:paraId="0BCCA455" w14:textId="10AEAE4A" w:rsidR="00067795" w:rsidRDefault="00070364" w:rsidP="00F36F7A">
      <w:pPr>
        <w:tabs>
          <w:tab w:val="left" w:pos="851"/>
        </w:tabs>
        <w:jc w:val="both"/>
        <w:rPr>
          <w:rFonts w:asciiTheme="majorHAnsi" w:hAnsiTheme="majorHAnsi"/>
          <w:lang w:val="fr-FR" w:eastAsia="en-US"/>
        </w:rPr>
      </w:pPr>
      <w:r w:rsidRPr="00AE4CEF">
        <w:rPr>
          <w:rFonts w:asciiTheme="majorHAnsi" w:hAnsiTheme="majorHAnsi"/>
          <w:lang w:val="fr-FR" w:eastAsia="en-US"/>
        </w:rPr>
        <w:t>Le BUT s’obtient soit par acquisition de chaque unité d’enseignement constitutive, soit par application des modalités de compensation. Le BUT obtenu par l’une ou l’autre voie confère la totalité des 180 ECTS.</w:t>
      </w:r>
    </w:p>
    <w:p w14:paraId="186118DD" w14:textId="3F623FB0" w:rsidR="000059E6" w:rsidRDefault="000059E6" w:rsidP="00F36F7A">
      <w:pPr>
        <w:tabs>
          <w:tab w:val="left" w:pos="851"/>
        </w:tabs>
        <w:jc w:val="both"/>
        <w:rPr>
          <w:rFonts w:asciiTheme="majorHAnsi" w:hAnsiTheme="majorHAnsi"/>
          <w:lang w:val="fr-FR" w:eastAsia="en-US"/>
        </w:rPr>
      </w:pPr>
      <w:r>
        <w:rPr>
          <w:rFonts w:asciiTheme="majorHAnsi" w:hAnsiTheme="majorHAnsi"/>
          <w:lang w:val="fr-FR" w:eastAsia="en-US"/>
        </w:rPr>
        <w:t xml:space="preserve">L’étudiant qui aura obtenu 120 crédits ECTS à l’issue de la deuxième année de BUT </w:t>
      </w:r>
      <w:r w:rsidR="00FA588B">
        <w:rPr>
          <w:rFonts w:asciiTheme="majorHAnsi" w:hAnsiTheme="majorHAnsi"/>
          <w:lang w:val="fr-FR" w:eastAsia="en-US"/>
        </w:rPr>
        <w:t>auront la possibilité de se voir</w:t>
      </w:r>
      <w:r>
        <w:rPr>
          <w:rFonts w:asciiTheme="majorHAnsi" w:hAnsiTheme="majorHAnsi"/>
          <w:lang w:val="fr-FR" w:eastAsia="en-US"/>
        </w:rPr>
        <w:t xml:space="preserve"> délivrer </w:t>
      </w:r>
      <w:r w:rsidR="00FA588B">
        <w:rPr>
          <w:rFonts w:asciiTheme="majorHAnsi" w:hAnsiTheme="majorHAnsi"/>
          <w:lang w:val="fr-FR" w:eastAsia="en-US"/>
        </w:rPr>
        <w:t xml:space="preserve">le </w:t>
      </w:r>
      <w:r>
        <w:rPr>
          <w:rFonts w:asciiTheme="majorHAnsi" w:hAnsiTheme="majorHAnsi"/>
          <w:lang w:val="fr-FR" w:eastAsia="en-US"/>
        </w:rPr>
        <w:t>diplôme de DUT.</w:t>
      </w:r>
    </w:p>
    <w:p w14:paraId="4E7FD4AF" w14:textId="71FEAE75" w:rsidR="00067795" w:rsidRPr="00714A73" w:rsidRDefault="00067795" w:rsidP="00714A73">
      <w:pPr>
        <w:pStyle w:val="Paragraphedeliste"/>
        <w:numPr>
          <w:ilvl w:val="0"/>
          <w:numId w:val="11"/>
        </w:numPr>
        <w:spacing w:after="0"/>
        <w:jc w:val="both"/>
        <w:rPr>
          <w:b/>
          <w:color w:val="1F497D" w:themeColor="text2"/>
          <w:lang w:val="fr-FR" w:eastAsia="en-US"/>
        </w:rPr>
      </w:pPr>
      <w:r w:rsidRPr="00714A73">
        <w:rPr>
          <w:b/>
          <w:color w:val="1F497D" w:themeColor="text2"/>
          <w:lang w:val="fr-FR" w:eastAsia="en-US"/>
        </w:rPr>
        <w:t>Les différentes règles de compensation</w:t>
      </w:r>
    </w:p>
    <w:p w14:paraId="10D70288" w14:textId="77777777" w:rsidR="00AC203E" w:rsidRDefault="00AC203E" w:rsidP="00074DE2">
      <w:pPr>
        <w:tabs>
          <w:tab w:val="left" w:pos="851"/>
        </w:tabs>
        <w:spacing w:after="0"/>
        <w:jc w:val="both"/>
        <w:rPr>
          <w:rFonts w:asciiTheme="majorHAnsi" w:hAnsiTheme="majorHAnsi"/>
          <w:lang w:val="fr-FR" w:eastAsia="en-US"/>
        </w:rPr>
      </w:pPr>
    </w:p>
    <w:p w14:paraId="725308A8" w14:textId="14FFB6DC" w:rsidR="00714A73" w:rsidRPr="00074DE2" w:rsidRDefault="00074DE2" w:rsidP="00074DE2">
      <w:pPr>
        <w:tabs>
          <w:tab w:val="left" w:pos="851"/>
        </w:tabs>
        <w:spacing w:after="0"/>
        <w:jc w:val="both"/>
        <w:rPr>
          <w:rFonts w:asciiTheme="majorHAnsi" w:hAnsiTheme="majorHAnsi"/>
          <w:lang w:val="fr-FR" w:eastAsia="en-US"/>
        </w:rPr>
      </w:pPr>
      <w:r w:rsidRPr="00074DE2">
        <w:rPr>
          <w:rFonts w:asciiTheme="majorHAnsi" w:hAnsiTheme="majorHAnsi"/>
          <w:lang w:val="fr-FR" w:eastAsia="en-US"/>
        </w:rPr>
        <w:t xml:space="preserve">Compensation </w:t>
      </w:r>
      <w:r w:rsidR="00723314">
        <w:rPr>
          <w:rFonts w:asciiTheme="majorHAnsi" w:hAnsiTheme="majorHAnsi"/>
          <w:lang w:val="fr-FR" w:eastAsia="en-US"/>
        </w:rPr>
        <w:t xml:space="preserve">par groupe </w:t>
      </w:r>
      <w:r w:rsidR="00714A73" w:rsidRPr="00074DE2">
        <w:rPr>
          <w:rFonts w:asciiTheme="majorHAnsi" w:hAnsiTheme="majorHAnsi"/>
          <w:lang w:val="fr-FR" w:eastAsia="en-US"/>
        </w:rPr>
        <w:t>d’UE</w:t>
      </w:r>
      <w:r w:rsidRPr="00074DE2">
        <w:rPr>
          <w:rFonts w:asciiTheme="majorHAnsi" w:hAnsiTheme="majorHAnsi"/>
          <w:lang w:val="fr-FR" w:eastAsia="en-US"/>
        </w:rPr>
        <w:t> :</w:t>
      </w:r>
    </w:p>
    <w:p w14:paraId="316DC6E9" w14:textId="797B6225" w:rsidR="00074DE2" w:rsidRPr="00074DE2" w:rsidRDefault="00074DE2" w:rsidP="00074DE2">
      <w:pPr>
        <w:spacing w:after="0"/>
        <w:jc w:val="both"/>
        <w:rPr>
          <w:rFonts w:asciiTheme="majorHAnsi" w:hAnsiTheme="majorHAnsi"/>
          <w:lang w:val="fr-FR" w:eastAsia="en-US"/>
        </w:rPr>
      </w:pPr>
      <w:r w:rsidRPr="00074DE2">
        <w:rPr>
          <w:rFonts w:asciiTheme="majorHAnsi" w:hAnsiTheme="majorHAnsi"/>
          <w:lang w:val="fr-FR" w:eastAsia="en-US"/>
        </w:rPr>
        <w:t>Le passage d’un semestre pair à un semestre impair est obtenu si et seulement si l’étudiant a obtenu</w:t>
      </w:r>
      <w:r>
        <w:rPr>
          <w:rFonts w:asciiTheme="majorHAnsi" w:hAnsiTheme="majorHAnsi"/>
          <w:lang w:val="fr-FR" w:eastAsia="en-US"/>
        </w:rPr>
        <w:t xml:space="preserve"> l</w:t>
      </w:r>
      <w:r w:rsidRPr="00074DE2">
        <w:rPr>
          <w:rFonts w:asciiTheme="majorHAnsi" w:hAnsiTheme="majorHAnsi"/>
          <w:lang w:val="fr-FR" w:eastAsia="en-US"/>
        </w:rPr>
        <w:t>a moyenne à plus de la moitié des regroupements cohérents d’UE ;</w:t>
      </w:r>
      <w:r>
        <w:rPr>
          <w:rFonts w:asciiTheme="majorHAnsi" w:hAnsiTheme="majorHAnsi"/>
          <w:lang w:val="fr-FR" w:eastAsia="en-US"/>
        </w:rPr>
        <w:t xml:space="preserve"> e</w:t>
      </w:r>
      <w:r w:rsidRPr="00074DE2">
        <w:rPr>
          <w:rFonts w:asciiTheme="majorHAnsi" w:hAnsiTheme="majorHAnsi"/>
          <w:lang w:val="fr-FR" w:eastAsia="en-US"/>
        </w:rPr>
        <w:t>t une moyenne égale ou supérieure à 8 sur 20 à chaque regroupement cohérent d’UE.</w:t>
      </w:r>
    </w:p>
    <w:p w14:paraId="5B74AA17" w14:textId="38827C4E" w:rsidR="00074DE2" w:rsidRPr="00074DE2" w:rsidRDefault="00074DE2" w:rsidP="00074DE2">
      <w:pPr>
        <w:spacing w:after="0"/>
        <w:jc w:val="both"/>
        <w:rPr>
          <w:rFonts w:asciiTheme="majorHAnsi" w:hAnsiTheme="majorHAnsi"/>
          <w:lang w:val="fr-FR" w:eastAsia="en-US"/>
        </w:rPr>
      </w:pPr>
      <w:r w:rsidRPr="00074DE2">
        <w:rPr>
          <w:rFonts w:asciiTheme="majorHAnsi" w:hAnsiTheme="majorHAnsi"/>
          <w:lang w:val="fr-FR" w:eastAsia="en-US"/>
        </w:rPr>
        <w:t xml:space="preserve">La poursuite dans le semestre 5 nécessite de plus la validation de toutes les UE des semestres 1 et 2, soit dans les conditions de validation définies au paragraphe ci-dessous, soit par décision du jury. </w:t>
      </w:r>
    </w:p>
    <w:p w14:paraId="6F9BFE83" w14:textId="7F0E6FBC" w:rsidR="00067795" w:rsidRDefault="00067795" w:rsidP="00F36F7A">
      <w:pPr>
        <w:tabs>
          <w:tab w:val="left" w:pos="851"/>
        </w:tabs>
        <w:jc w:val="both"/>
        <w:rPr>
          <w:rFonts w:asciiTheme="majorHAnsi" w:hAnsiTheme="majorHAnsi"/>
          <w:lang w:val="fr-FR" w:eastAsia="en-US"/>
        </w:rPr>
      </w:pPr>
    </w:p>
    <w:p w14:paraId="511EA0A9" w14:textId="46402506" w:rsidR="00D97005" w:rsidRPr="0067101F" w:rsidRDefault="00D97005" w:rsidP="0067101F">
      <w:pPr>
        <w:pStyle w:val="Paragraphedeliste"/>
        <w:numPr>
          <w:ilvl w:val="0"/>
          <w:numId w:val="11"/>
        </w:numPr>
        <w:tabs>
          <w:tab w:val="left" w:pos="851"/>
        </w:tabs>
        <w:spacing w:after="0"/>
        <w:jc w:val="both"/>
        <w:rPr>
          <w:b/>
          <w:color w:val="1F497D" w:themeColor="text2"/>
          <w:lang w:val="fr-FR" w:eastAsia="en-US"/>
        </w:rPr>
      </w:pPr>
      <w:r w:rsidRPr="0067101F">
        <w:rPr>
          <w:b/>
          <w:color w:val="1F497D" w:themeColor="text2"/>
          <w:lang w:val="fr-FR" w:eastAsia="en-US"/>
        </w:rPr>
        <w:t>Les mesures transitoires proposées dans le cadre de la nouvelle offre d’accréditation</w:t>
      </w:r>
    </w:p>
    <w:p w14:paraId="5BE0483D" w14:textId="77777777" w:rsidR="0067101F" w:rsidRPr="0067101F" w:rsidRDefault="0067101F" w:rsidP="0067101F">
      <w:pPr>
        <w:tabs>
          <w:tab w:val="left" w:pos="851"/>
        </w:tabs>
        <w:spacing w:after="0"/>
        <w:jc w:val="both"/>
        <w:rPr>
          <w:rFonts w:asciiTheme="majorHAnsi" w:hAnsiTheme="majorHAnsi"/>
          <w:b/>
          <w:color w:val="1F497D" w:themeColor="text2"/>
          <w:lang w:val="fr-FR" w:eastAsia="en-US"/>
        </w:rPr>
      </w:pPr>
    </w:p>
    <w:p w14:paraId="2B47017C" w14:textId="2B67F641" w:rsidR="00D97005" w:rsidRDefault="0067101F" w:rsidP="00D97005">
      <w:pPr>
        <w:tabs>
          <w:tab w:val="left" w:pos="851"/>
        </w:tabs>
        <w:jc w:val="both"/>
        <w:rPr>
          <w:rFonts w:asciiTheme="majorHAnsi" w:hAnsiTheme="majorHAnsi"/>
          <w:lang w:val="fr-FR" w:eastAsia="en-US"/>
        </w:rPr>
      </w:pPr>
      <w:r>
        <w:rPr>
          <w:rFonts w:asciiTheme="majorHAnsi" w:hAnsiTheme="majorHAnsi"/>
          <w:lang w:val="fr-FR" w:eastAsia="en-US"/>
        </w:rPr>
        <w:t>Dans le cadre de l’adaptation locale du BUT, les formations pourront être amenées à proposer de nouvelles ressources et SA</w:t>
      </w:r>
      <w:r w:rsidR="006665AE">
        <w:rPr>
          <w:rFonts w:asciiTheme="majorHAnsi" w:hAnsiTheme="majorHAnsi"/>
          <w:lang w:val="fr-FR" w:eastAsia="en-US"/>
        </w:rPr>
        <w:t>E</w:t>
      </w:r>
      <w:r>
        <w:rPr>
          <w:rFonts w:asciiTheme="majorHAnsi" w:hAnsiTheme="majorHAnsi"/>
          <w:lang w:val="fr-FR" w:eastAsia="en-US"/>
        </w:rPr>
        <w:t xml:space="preserve"> et d’en adapter les coefficients.</w:t>
      </w:r>
    </w:p>
    <w:p w14:paraId="42201274" w14:textId="3A716140" w:rsidR="0067101F" w:rsidRDefault="0067101F" w:rsidP="0067101F">
      <w:pPr>
        <w:pStyle w:val="Paragraphedeliste"/>
        <w:numPr>
          <w:ilvl w:val="0"/>
          <w:numId w:val="11"/>
        </w:numPr>
        <w:spacing w:after="0"/>
        <w:jc w:val="both"/>
        <w:rPr>
          <w:b/>
          <w:color w:val="1F497D" w:themeColor="text2"/>
          <w:lang w:val="fr-FR" w:eastAsia="en-US"/>
        </w:rPr>
      </w:pPr>
      <w:r w:rsidRPr="0067101F">
        <w:rPr>
          <w:b/>
          <w:color w:val="1F497D" w:themeColor="text2"/>
          <w:lang w:val="fr-FR" w:eastAsia="en-US"/>
        </w:rPr>
        <w:t>Dispositifs « Oui-Si »</w:t>
      </w:r>
    </w:p>
    <w:p w14:paraId="2AACADCA" w14:textId="7DC2B7DF" w:rsidR="00D62DD2" w:rsidRDefault="00D62DD2" w:rsidP="00D62DD2">
      <w:pPr>
        <w:spacing w:after="0"/>
        <w:jc w:val="both"/>
        <w:rPr>
          <w:b/>
          <w:color w:val="1F497D" w:themeColor="text2"/>
          <w:lang w:val="fr-FR" w:eastAsia="en-US"/>
        </w:rPr>
      </w:pPr>
    </w:p>
    <w:p w14:paraId="78765F35" w14:textId="5E14772C" w:rsidR="0067101F" w:rsidRPr="00C96435" w:rsidRDefault="00C96435" w:rsidP="0067101F">
      <w:pPr>
        <w:spacing w:after="0"/>
        <w:jc w:val="both"/>
        <w:rPr>
          <w:lang w:val="fr-FR" w:eastAsia="en-US"/>
        </w:rPr>
      </w:pPr>
      <w:r>
        <w:rPr>
          <w:lang w:val="fr-FR" w:eastAsia="en-US"/>
        </w:rPr>
        <w:t>Néant</w:t>
      </w:r>
    </w:p>
    <w:p w14:paraId="6983E973" w14:textId="77777777" w:rsidR="0067101F" w:rsidRPr="0067101F" w:rsidRDefault="0067101F" w:rsidP="0067101F">
      <w:pPr>
        <w:spacing w:after="0"/>
        <w:jc w:val="both"/>
        <w:rPr>
          <w:b/>
          <w:color w:val="1F497D" w:themeColor="text2"/>
          <w:lang w:val="fr-FR" w:eastAsia="en-US"/>
        </w:rPr>
      </w:pPr>
    </w:p>
    <w:p w14:paraId="7AB0F1E5" w14:textId="4EEF01AC" w:rsidR="008D6B1F" w:rsidRPr="0067101F" w:rsidRDefault="004C192F" w:rsidP="0067101F">
      <w:pPr>
        <w:pStyle w:val="Paragraphedeliste"/>
        <w:numPr>
          <w:ilvl w:val="0"/>
          <w:numId w:val="11"/>
        </w:numPr>
        <w:spacing w:after="0"/>
        <w:jc w:val="both"/>
        <w:rPr>
          <w:b/>
          <w:color w:val="1F497D" w:themeColor="text2"/>
          <w:lang w:val="fr-FR" w:eastAsia="en-US"/>
        </w:rPr>
      </w:pPr>
      <w:r w:rsidRPr="0067101F">
        <w:rPr>
          <w:b/>
          <w:color w:val="1F497D" w:themeColor="text2"/>
          <w:lang w:val="fr-FR" w:eastAsia="en-US"/>
        </w:rPr>
        <w:t>Les différentes règles d’assiduité</w:t>
      </w:r>
      <w:r w:rsidR="008D6B1F" w:rsidRPr="0067101F">
        <w:rPr>
          <w:b/>
          <w:color w:val="1F497D" w:themeColor="text2"/>
          <w:lang w:val="fr-FR" w:eastAsia="en-US"/>
        </w:rPr>
        <w:t xml:space="preserve"> et </w:t>
      </w:r>
      <w:r w:rsidR="007268CB" w:rsidRPr="0067101F">
        <w:rPr>
          <w:b/>
          <w:color w:val="1F497D" w:themeColor="text2"/>
          <w:lang w:val="fr-FR" w:eastAsia="en-US"/>
        </w:rPr>
        <w:t>la d</w:t>
      </w:r>
      <w:r w:rsidR="008D6B1F" w:rsidRPr="0067101F">
        <w:rPr>
          <w:b/>
          <w:color w:val="1F497D" w:themeColor="text2"/>
          <w:lang w:val="fr-FR" w:eastAsia="en-US"/>
        </w:rPr>
        <w:t>éfaillance</w:t>
      </w:r>
    </w:p>
    <w:p w14:paraId="405BFE08" w14:textId="18D4DA9E" w:rsidR="00437385" w:rsidRPr="00437385" w:rsidRDefault="00437385" w:rsidP="00AC203E">
      <w:pPr>
        <w:jc w:val="both"/>
        <w:rPr>
          <w:rFonts w:asciiTheme="majorHAnsi" w:hAnsiTheme="majorHAnsi" w:cstheme="majorHAnsi"/>
          <w:lang w:val="fr-FR" w:eastAsia="en-US"/>
        </w:rPr>
      </w:pPr>
      <w:r>
        <w:rPr>
          <w:rFonts w:asciiTheme="majorHAnsi" w:hAnsiTheme="majorHAnsi" w:cstheme="majorHAnsi"/>
          <w:lang w:val="fr-FR" w:eastAsia="en-US"/>
        </w:rPr>
        <w:t>Gestion des absences :</w:t>
      </w:r>
    </w:p>
    <w:p w14:paraId="10CDA20B" w14:textId="77777777" w:rsidR="00437385" w:rsidRPr="00437385" w:rsidRDefault="00437385" w:rsidP="00437385">
      <w:pPr>
        <w:jc w:val="both"/>
        <w:rPr>
          <w:rFonts w:asciiTheme="majorHAnsi" w:hAnsiTheme="majorHAnsi" w:cstheme="majorHAnsi"/>
          <w:lang w:val="fr-FR" w:eastAsia="en-US"/>
        </w:rPr>
      </w:pPr>
      <w:r w:rsidRPr="00437385">
        <w:rPr>
          <w:rFonts w:asciiTheme="majorHAnsi" w:hAnsiTheme="majorHAnsi" w:cstheme="majorHAnsi"/>
          <w:lang w:val="fr-FR" w:eastAsia="en-US"/>
        </w:rPr>
        <w:t xml:space="preserve">Conformément à l’arrêté du 3 août 2005 relatif au </w:t>
      </w:r>
      <w:proofErr w:type="spellStart"/>
      <w:r w:rsidRPr="00437385">
        <w:rPr>
          <w:rFonts w:asciiTheme="majorHAnsi" w:hAnsiTheme="majorHAnsi" w:cstheme="majorHAnsi"/>
          <w:lang w:val="fr-FR" w:eastAsia="en-US"/>
        </w:rPr>
        <w:t>Bachelor</w:t>
      </w:r>
      <w:proofErr w:type="spellEnd"/>
      <w:r w:rsidRPr="00437385">
        <w:rPr>
          <w:rFonts w:asciiTheme="majorHAnsi" w:hAnsiTheme="majorHAnsi" w:cstheme="majorHAnsi"/>
          <w:lang w:val="fr-FR" w:eastAsia="en-US"/>
        </w:rPr>
        <w:t xml:space="preserve"> Universitaire de Technologie dans l’Espace européen de l’enseignement supérieur, l’assiduité à toutes les activités pédagogiques organisées dans le cadre de la formation est obligatoire.</w:t>
      </w:r>
    </w:p>
    <w:p w14:paraId="3BCE32B9" w14:textId="77777777" w:rsidR="00437385" w:rsidRPr="00437385" w:rsidRDefault="00437385" w:rsidP="00437385">
      <w:pPr>
        <w:jc w:val="both"/>
        <w:rPr>
          <w:rFonts w:asciiTheme="majorHAnsi" w:hAnsiTheme="majorHAnsi" w:cstheme="majorHAnsi"/>
          <w:lang w:val="fr-FR" w:eastAsia="en-US"/>
        </w:rPr>
      </w:pPr>
      <w:r w:rsidRPr="00437385">
        <w:rPr>
          <w:rFonts w:asciiTheme="majorHAnsi" w:hAnsiTheme="majorHAnsi" w:cstheme="majorHAnsi"/>
          <w:lang w:val="fr-FR" w:eastAsia="en-US"/>
        </w:rPr>
        <w:t xml:space="preserve">L’unité d’absence est la demi-journée. Une absence à une séance d’activités pédagogiques (cours, TD, </w:t>
      </w:r>
      <w:proofErr w:type="gramStart"/>
      <w:r w:rsidRPr="00437385">
        <w:rPr>
          <w:rFonts w:asciiTheme="majorHAnsi" w:hAnsiTheme="majorHAnsi" w:cstheme="majorHAnsi"/>
          <w:lang w:val="fr-FR" w:eastAsia="en-US"/>
        </w:rPr>
        <w:t>TP, ….</w:t>
      </w:r>
      <w:proofErr w:type="gramEnd"/>
      <w:r w:rsidRPr="00437385">
        <w:rPr>
          <w:rFonts w:asciiTheme="majorHAnsi" w:hAnsiTheme="majorHAnsi" w:cstheme="majorHAnsi"/>
          <w:lang w:val="fr-FR" w:eastAsia="en-US"/>
        </w:rPr>
        <w:t>) compte pour une demi-journée.</w:t>
      </w:r>
    </w:p>
    <w:p w14:paraId="707CBBEB" w14:textId="77777777" w:rsidR="00437385" w:rsidRPr="00437385" w:rsidRDefault="00437385" w:rsidP="00437385">
      <w:pPr>
        <w:jc w:val="both"/>
        <w:rPr>
          <w:rFonts w:asciiTheme="majorHAnsi" w:hAnsiTheme="majorHAnsi" w:cstheme="majorHAnsi"/>
          <w:lang w:val="fr-FR" w:eastAsia="en-US"/>
        </w:rPr>
      </w:pPr>
      <w:r w:rsidRPr="00437385">
        <w:rPr>
          <w:rFonts w:asciiTheme="majorHAnsi" w:hAnsiTheme="majorHAnsi" w:cstheme="majorHAnsi"/>
          <w:lang w:val="fr-FR" w:eastAsia="en-US"/>
        </w:rPr>
        <w:t>L’exclusion d’un cours par un enseignant n’est pas considérée comme une absence.</w:t>
      </w:r>
    </w:p>
    <w:p w14:paraId="7C4228F8" w14:textId="1F266988" w:rsidR="00437385" w:rsidRPr="00E51722" w:rsidRDefault="00437385" w:rsidP="00437385">
      <w:pPr>
        <w:jc w:val="both"/>
        <w:rPr>
          <w:rFonts w:asciiTheme="majorHAnsi" w:hAnsiTheme="majorHAnsi" w:cstheme="majorHAnsi"/>
          <w:i/>
          <w:lang w:val="fr-FR" w:eastAsia="en-US"/>
        </w:rPr>
      </w:pPr>
      <w:r w:rsidRPr="00E51722">
        <w:rPr>
          <w:rFonts w:asciiTheme="majorHAnsi" w:hAnsiTheme="majorHAnsi" w:cstheme="majorHAnsi"/>
          <w:i/>
          <w:lang w:val="fr-FR" w:eastAsia="en-US"/>
        </w:rPr>
        <w:t>Absences justifiées :</w:t>
      </w:r>
    </w:p>
    <w:p w14:paraId="112AA304" w14:textId="77777777" w:rsidR="00437385" w:rsidRPr="00437385" w:rsidRDefault="00437385" w:rsidP="00437385">
      <w:pPr>
        <w:jc w:val="both"/>
        <w:rPr>
          <w:rFonts w:asciiTheme="majorHAnsi" w:hAnsiTheme="majorHAnsi" w:cstheme="majorHAnsi"/>
          <w:lang w:val="fr-FR" w:eastAsia="en-US"/>
        </w:rPr>
      </w:pPr>
      <w:r w:rsidRPr="00437385">
        <w:rPr>
          <w:rFonts w:asciiTheme="majorHAnsi" w:hAnsiTheme="majorHAnsi" w:cstheme="majorHAnsi"/>
          <w:lang w:val="fr-FR" w:eastAsia="en-US"/>
        </w:rPr>
        <w:t>Les motifs d’absence suivants peuvent être considérés comme justifiés : certificat médical daté et tamponné (maladie, accident), acte officiel (mariage de l’étudiant, naissance de son enfant, décès d’un parent proche), convocation nominative (code, permis de conduire, administrations), tout cas de force majeure laissé à l’appréciation du chef de département (ou son représentant).</w:t>
      </w:r>
    </w:p>
    <w:p w14:paraId="2BBC79BD" w14:textId="77777777" w:rsidR="00437385" w:rsidRPr="00437385" w:rsidRDefault="00437385" w:rsidP="00437385">
      <w:pPr>
        <w:jc w:val="both"/>
        <w:rPr>
          <w:rFonts w:asciiTheme="majorHAnsi" w:hAnsiTheme="majorHAnsi" w:cstheme="majorHAnsi"/>
          <w:lang w:val="fr-FR" w:eastAsia="en-US"/>
        </w:rPr>
      </w:pPr>
      <w:r w:rsidRPr="00437385">
        <w:rPr>
          <w:rFonts w:asciiTheme="majorHAnsi" w:hAnsiTheme="majorHAnsi" w:cstheme="majorHAnsi"/>
          <w:lang w:val="fr-FR" w:eastAsia="en-US"/>
        </w:rPr>
        <w:t>NB : Cette liste pourra être complétée si besoin lors d’un vote au conseil de département à chaque rentrée universitaire.</w:t>
      </w:r>
    </w:p>
    <w:p w14:paraId="789724B8" w14:textId="77777777" w:rsidR="00437385" w:rsidRPr="00437385" w:rsidRDefault="00437385" w:rsidP="00437385">
      <w:pPr>
        <w:jc w:val="both"/>
        <w:rPr>
          <w:rFonts w:asciiTheme="majorHAnsi" w:hAnsiTheme="majorHAnsi" w:cstheme="majorHAnsi"/>
          <w:lang w:val="fr-FR" w:eastAsia="en-US"/>
        </w:rPr>
      </w:pPr>
      <w:r w:rsidRPr="00437385">
        <w:rPr>
          <w:rFonts w:asciiTheme="majorHAnsi" w:hAnsiTheme="majorHAnsi" w:cstheme="majorHAnsi"/>
          <w:lang w:val="fr-FR" w:eastAsia="en-US"/>
        </w:rPr>
        <w:t>En cas d’absence prévisible, tout étudiant doit demander au préalable et sous forme écrite une autorisation auprès du chef de département (ou son représentant) en joignant les pièces justificatives associées.</w:t>
      </w:r>
    </w:p>
    <w:p w14:paraId="5968979C" w14:textId="77777777" w:rsidR="00437385" w:rsidRPr="00437385" w:rsidRDefault="00437385" w:rsidP="00437385">
      <w:pPr>
        <w:jc w:val="both"/>
        <w:rPr>
          <w:rFonts w:asciiTheme="majorHAnsi" w:hAnsiTheme="majorHAnsi" w:cstheme="majorHAnsi"/>
          <w:lang w:val="fr-FR" w:eastAsia="en-US"/>
        </w:rPr>
      </w:pPr>
      <w:r w:rsidRPr="00437385">
        <w:rPr>
          <w:rFonts w:asciiTheme="majorHAnsi" w:hAnsiTheme="majorHAnsi" w:cstheme="majorHAnsi"/>
          <w:lang w:val="fr-FR" w:eastAsia="en-US"/>
        </w:rPr>
        <w:t>Toute absence doit être justifiée au secrétariat dans les 48 heures (sauf empêchement avéré) à partir du jour de l’absence par l’envoi du justificatif approprié et recevable. Dans le cas contraire, toute absence se transforme « ipso facto » en absence non justifiée.</w:t>
      </w:r>
    </w:p>
    <w:p w14:paraId="1C8D23C0" w14:textId="4F6AC5B1" w:rsidR="00437385" w:rsidRPr="00437385" w:rsidRDefault="00437385" w:rsidP="00437385">
      <w:pPr>
        <w:jc w:val="both"/>
        <w:rPr>
          <w:rFonts w:asciiTheme="majorHAnsi" w:hAnsiTheme="majorHAnsi" w:cstheme="majorHAnsi"/>
          <w:lang w:val="fr-FR" w:eastAsia="en-US"/>
        </w:rPr>
      </w:pPr>
      <w:r w:rsidRPr="00437385">
        <w:rPr>
          <w:rFonts w:asciiTheme="majorHAnsi" w:hAnsiTheme="majorHAnsi" w:cstheme="majorHAnsi"/>
          <w:lang w:val="fr-FR" w:eastAsia="en-US"/>
        </w:rPr>
        <w:t>Les étudiants engagés dans la vie active ou assumant des responsabilités particulières dans la vie universitaire, la vie étudiante ou associative, les étudiants chargés de famille, les étudiants en situation de handicap, les sportifs de haut niveau… peuvent demander au directeur de l’IUT, par écrit et pièces justificatives à l’appui, à être dispensés de l’assiduité obligatoire aux cours magistraux, travaux dirigés et travaux pratiques. Cette demande doit être formulée, en principe, dans les quinze jours qui suivent le début des cours. Chaque demande fait l’objet d’un examen particulier et donne lieu à une réponse écrite.</w:t>
      </w:r>
    </w:p>
    <w:p w14:paraId="6DA13BB0" w14:textId="523EE9C5" w:rsidR="00437385" w:rsidRPr="00E51722" w:rsidRDefault="00437385" w:rsidP="00437385">
      <w:pPr>
        <w:jc w:val="both"/>
        <w:rPr>
          <w:rFonts w:asciiTheme="majorHAnsi" w:hAnsiTheme="majorHAnsi" w:cstheme="majorHAnsi"/>
          <w:i/>
          <w:lang w:val="fr-FR" w:eastAsia="en-US"/>
        </w:rPr>
      </w:pPr>
      <w:r w:rsidRPr="00E51722">
        <w:rPr>
          <w:rFonts w:asciiTheme="majorHAnsi" w:hAnsiTheme="majorHAnsi" w:cstheme="majorHAnsi"/>
          <w:i/>
          <w:lang w:val="fr-FR" w:eastAsia="en-US"/>
        </w:rPr>
        <w:t>Absences non justifiées :</w:t>
      </w:r>
    </w:p>
    <w:p w14:paraId="5D7BBEF4" w14:textId="77777777" w:rsidR="00437385" w:rsidRPr="00437385" w:rsidRDefault="00437385" w:rsidP="00437385">
      <w:pPr>
        <w:jc w:val="both"/>
        <w:rPr>
          <w:rFonts w:asciiTheme="majorHAnsi" w:hAnsiTheme="majorHAnsi" w:cstheme="majorHAnsi"/>
          <w:lang w:val="fr-FR" w:eastAsia="en-US"/>
        </w:rPr>
      </w:pPr>
      <w:r w:rsidRPr="00437385">
        <w:rPr>
          <w:rFonts w:asciiTheme="majorHAnsi" w:hAnsiTheme="majorHAnsi" w:cstheme="majorHAnsi"/>
          <w:lang w:val="fr-FR" w:eastAsia="en-US"/>
        </w:rPr>
        <w:t>Dix (10) demi-journées d’absences non justifiées dans un semestre peuvent entraîner la déclaration de défaillance de l’étudiant. Dans ce cas, la moyenne du semestre ne sera pas calculée.</w:t>
      </w:r>
    </w:p>
    <w:p w14:paraId="6F5985C2" w14:textId="77777777" w:rsidR="00437385" w:rsidRPr="00437385" w:rsidRDefault="00437385" w:rsidP="00437385">
      <w:pPr>
        <w:jc w:val="both"/>
        <w:rPr>
          <w:rFonts w:asciiTheme="majorHAnsi" w:hAnsiTheme="majorHAnsi" w:cstheme="majorHAnsi"/>
          <w:lang w:val="fr-FR" w:eastAsia="en-US"/>
        </w:rPr>
      </w:pPr>
      <w:r w:rsidRPr="00437385">
        <w:rPr>
          <w:rFonts w:asciiTheme="majorHAnsi" w:hAnsiTheme="majorHAnsi" w:cstheme="majorHAnsi"/>
          <w:lang w:val="fr-FR" w:eastAsia="en-US"/>
        </w:rPr>
        <w:t>La mesure ne peut s’appliquer que si les conditions suivantes sont réunies :</w:t>
      </w:r>
    </w:p>
    <w:p w14:paraId="586D4BA0" w14:textId="77777777" w:rsidR="00437385" w:rsidRPr="00437385" w:rsidRDefault="00437385" w:rsidP="00437385">
      <w:pPr>
        <w:jc w:val="both"/>
        <w:rPr>
          <w:rFonts w:asciiTheme="majorHAnsi" w:hAnsiTheme="majorHAnsi" w:cstheme="majorHAnsi"/>
          <w:lang w:val="fr-FR" w:eastAsia="en-US"/>
        </w:rPr>
      </w:pPr>
      <w:r w:rsidRPr="00437385">
        <w:rPr>
          <w:rFonts w:asciiTheme="majorHAnsi" w:hAnsiTheme="majorHAnsi" w:cstheme="majorHAnsi"/>
          <w:lang w:val="fr-FR" w:eastAsia="en-US"/>
        </w:rPr>
        <w:t>•</w:t>
      </w:r>
      <w:r w:rsidRPr="00437385">
        <w:rPr>
          <w:rFonts w:asciiTheme="majorHAnsi" w:hAnsiTheme="majorHAnsi" w:cstheme="majorHAnsi"/>
          <w:lang w:val="fr-FR" w:eastAsia="en-US"/>
        </w:rPr>
        <w:tab/>
        <w:t>Après six (6) demi-journées d’absences constatées non justifiées, l’étudiant reçoit un premier avertissement par lettre recommandée.</w:t>
      </w:r>
    </w:p>
    <w:p w14:paraId="73FB258B" w14:textId="77777777" w:rsidR="00437385" w:rsidRPr="00437385" w:rsidRDefault="00437385" w:rsidP="00437385">
      <w:pPr>
        <w:jc w:val="both"/>
        <w:rPr>
          <w:rFonts w:asciiTheme="majorHAnsi" w:hAnsiTheme="majorHAnsi" w:cstheme="majorHAnsi"/>
          <w:lang w:val="fr-FR" w:eastAsia="en-US"/>
        </w:rPr>
      </w:pPr>
      <w:r w:rsidRPr="00437385">
        <w:rPr>
          <w:rFonts w:asciiTheme="majorHAnsi" w:hAnsiTheme="majorHAnsi" w:cstheme="majorHAnsi"/>
          <w:lang w:val="fr-FR" w:eastAsia="en-US"/>
        </w:rPr>
        <w:t>•</w:t>
      </w:r>
      <w:r w:rsidRPr="00437385">
        <w:rPr>
          <w:rFonts w:asciiTheme="majorHAnsi" w:hAnsiTheme="majorHAnsi" w:cstheme="majorHAnsi"/>
          <w:lang w:val="fr-FR" w:eastAsia="en-US"/>
        </w:rPr>
        <w:tab/>
        <w:t xml:space="preserve">Après quatre (4) nouvelles demi-journées d’absences constatées non justifiées, l’étudiant reçoit par lettre recommandée, un avis de proposition de défaillance à la commission de validation du semestre </w:t>
      </w:r>
    </w:p>
    <w:p w14:paraId="04DC3F55" w14:textId="77777777" w:rsidR="00437385" w:rsidRPr="00437385" w:rsidRDefault="00437385" w:rsidP="00437385">
      <w:pPr>
        <w:jc w:val="both"/>
        <w:rPr>
          <w:rFonts w:asciiTheme="majorHAnsi" w:hAnsiTheme="majorHAnsi" w:cstheme="majorHAnsi"/>
          <w:lang w:val="fr-FR" w:eastAsia="en-US"/>
        </w:rPr>
      </w:pPr>
      <w:r w:rsidRPr="00437385">
        <w:rPr>
          <w:rFonts w:asciiTheme="majorHAnsi" w:hAnsiTheme="majorHAnsi" w:cstheme="majorHAnsi"/>
          <w:lang w:val="fr-FR" w:eastAsia="en-US"/>
        </w:rPr>
        <w:lastRenderedPageBreak/>
        <w:t>Il ne peut y avoir d’exclusion immédiate de semestre pour cause d’absences non justifiées.</w:t>
      </w:r>
    </w:p>
    <w:p w14:paraId="107660D8" w14:textId="3BDDDC2D" w:rsidR="00437385" w:rsidRPr="00E51722" w:rsidRDefault="00437385" w:rsidP="00437385">
      <w:pPr>
        <w:jc w:val="both"/>
        <w:rPr>
          <w:rFonts w:asciiTheme="majorHAnsi" w:hAnsiTheme="majorHAnsi" w:cstheme="majorHAnsi"/>
          <w:i/>
          <w:lang w:val="fr-FR" w:eastAsia="en-US"/>
        </w:rPr>
      </w:pPr>
      <w:r w:rsidRPr="00E51722">
        <w:rPr>
          <w:rFonts w:asciiTheme="majorHAnsi" w:hAnsiTheme="majorHAnsi" w:cstheme="majorHAnsi"/>
          <w:i/>
          <w:lang w:val="fr-FR" w:eastAsia="en-US"/>
        </w:rPr>
        <w:t>Absences à un contrôle :</w:t>
      </w:r>
    </w:p>
    <w:p w14:paraId="286E0474" w14:textId="77777777" w:rsidR="00437385" w:rsidRPr="00437385" w:rsidRDefault="00437385" w:rsidP="00437385">
      <w:pPr>
        <w:jc w:val="both"/>
        <w:rPr>
          <w:rFonts w:asciiTheme="majorHAnsi" w:hAnsiTheme="majorHAnsi" w:cstheme="majorHAnsi"/>
          <w:lang w:val="fr-FR" w:eastAsia="en-US"/>
        </w:rPr>
      </w:pPr>
      <w:r w:rsidRPr="00437385">
        <w:rPr>
          <w:rFonts w:asciiTheme="majorHAnsi" w:hAnsiTheme="majorHAnsi" w:cstheme="majorHAnsi"/>
          <w:lang w:val="fr-FR" w:eastAsia="en-US"/>
        </w:rPr>
        <w:t>Une absence à un contrôle ou la non remise d’un projet entraîne la note 0 (zéro) à ce contrôle ou à ce projet. En cas d’absence justifiée validée par le Chef de Département, un contrôle de remplacement sera obligatoirement organisé lorsque le poids des notes manquantes représente au moins 35 % de l’évaluation de la matière.</w:t>
      </w:r>
    </w:p>
    <w:p w14:paraId="1FADA2A5" w14:textId="77777777" w:rsidR="00437385" w:rsidRPr="00437385" w:rsidRDefault="00437385" w:rsidP="00437385">
      <w:pPr>
        <w:jc w:val="both"/>
        <w:rPr>
          <w:rFonts w:asciiTheme="majorHAnsi" w:hAnsiTheme="majorHAnsi" w:cstheme="majorHAnsi"/>
          <w:lang w:val="fr-FR" w:eastAsia="en-US"/>
        </w:rPr>
      </w:pPr>
      <w:r w:rsidRPr="00437385">
        <w:rPr>
          <w:rFonts w:asciiTheme="majorHAnsi" w:hAnsiTheme="majorHAnsi" w:cstheme="majorHAnsi"/>
          <w:lang w:val="fr-FR" w:eastAsia="en-US"/>
        </w:rPr>
        <w:t>L’absence à un contrôle de remplacement entraînera la note 0 à ce contrôle. Dans tous les autres cas, le département appréciera la situation.</w:t>
      </w:r>
    </w:p>
    <w:p w14:paraId="634558E0" w14:textId="1232C1F1" w:rsidR="00437385" w:rsidRPr="00E51722" w:rsidRDefault="00437385" w:rsidP="00437385">
      <w:pPr>
        <w:jc w:val="both"/>
        <w:rPr>
          <w:rFonts w:asciiTheme="majorHAnsi" w:hAnsiTheme="majorHAnsi" w:cstheme="majorHAnsi"/>
          <w:i/>
          <w:lang w:val="fr-FR" w:eastAsia="en-US"/>
        </w:rPr>
      </w:pPr>
      <w:r w:rsidRPr="00E51722">
        <w:rPr>
          <w:rFonts w:asciiTheme="majorHAnsi" w:hAnsiTheme="majorHAnsi" w:cstheme="majorHAnsi"/>
          <w:i/>
          <w:lang w:val="fr-FR" w:eastAsia="en-US"/>
        </w:rPr>
        <w:t>Relevé des absences :</w:t>
      </w:r>
    </w:p>
    <w:p w14:paraId="766F6768" w14:textId="77777777" w:rsidR="00437385" w:rsidRPr="00437385" w:rsidRDefault="00437385" w:rsidP="00437385">
      <w:pPr>
        <w:jc w:val="both"/>
        <w:rPr>
          <w:rFonts w:asciiTheme="majorHAnsi" w:hAnsiTheme="majorHAnsi" w:cstheme="majorHAnsi"/>
          <w:lang w:val="fr-FR" w:eastAsia="en-US"/>
        </w:rPr>
      </w:pPr>
      <w:r w:rsidRPr="00437385">
        <w:rPr>
          <w:rFonts w:asciiTheme="majorHAnsi" w:hAnsiTheme="majorHAnsi" w:cstheme="majorHAnsi"/>
          <w:lang w:val="fr-FR" w:eastAsia="en-US"/>
        </w:rPr>
        <w:t>Pour lutter contre l’échec, chaque enseignant relève les absences et les transmet au secrétariat de son département ou bien les rentre directement sur le logiciel SCODOC.  Cette pratique permet de mettre à disposition de l’équipe pédagogique un indicateur individuel de l’assiduité des étudiants.</w:t>
      </w:r>
    </w:p>
    <w:p w14:paraId="1813FEA3" w14:textId="1B69D8BA" w:rsidR="009B6C5E" w:rsidRPr="00437385" w:rsidRDefault="00437385" w:rsidP="00437385">
      <w:pPr>
        <w:jc w:val="both"/>
        <w:rPr>
          <w:rFonts w:asciiTheme="majorHAnsi" w:hAnsiTheme="majorHAnsi" w:cstheme="majorHAnsi"/>
          <w:lang w:val="fr-FR" w:eastAsia="en-US"/>
        </w:rPr>
      </w:pPr>
      <w:r w:rsidRPr="00437385">
        <w:rPr>
          <w:rFonts w:asciiTheme="majorHAnsi" w:hAnsiTheme="majorHAnsi" w:cstheme="majorHAnsi"/>
          <w:lang w:val="fr-FR" w:eastAsia="en-US"/>
        </w:rPr>
        <w:t>Comme définies dans le paragraphe 1), les modalités du contrôle des connaissances donnent la possibilité aux enseignants de réaliser des évaluations régulières et inopinées. L’étudiant absent aux évaluations se verra mécaniquement sanctionné au travers de sa moyenne dans la matière.</w:t>
      </w:r>
    </w:p>
    <w:p w14:paraId="53F2F377" w14:textId="44B1E976" w:rsidR="004C192F" w:rsidRDefault="000B1629" w:rsidP="0067101F">
      <w:pPr>
        <w:pStyle w:val="Paragraphedeliste"/>
        <w:numPr>
          <w:ilvl w:val="0"/>
          <w:numId w:val="11"/>
        </w:numPr>
        <w:spacing w:after="0"/>
        <w:jc w:val="both"/>
        <w:rPr>
          <w:b/>
          <w:color w:val="1F497D" w:themeColor="text2"/>
          <w:lang w:val="fr-FR" w:eastAsia="en-US"/>
        </w:rPr>
      </w:pPr>
      <w:r w:rsidRPr="0067101F">
        <w:rPr>
          <w:b/>
          <w:color w:val="1F497D" w:themeColor="text2"/>
          <w:lang w:val="fr-FR" w:eastAsia="en-US"/>
        </w:rPr>
        <w:t xml:space="preserve">Les </w:t>
      </w:r>
      <w:r w:rsidR="0067101F">
        <w:rPr>
          <w:b/>
          <w:color w:val="1F497D" w:themeColor="text2"/>
          <w:lang w:val="fr-FR" w:eastAsia="en-US"/>
        </w:rPr>
        <w:t>règles de poursuites d’études</w:t>
      </w:r>
    </w:p>
    <w:p w14:paraId="78561D85" w14:textId="20291C4D" w:rsidR="0067101F" w:rsidRDefault="0067101F" w:rsidP="0067101F">
      <w:pPr>
        <w:spacing w:after="0"/>
        <w:jc w:val="both"/>
        <w:rPr>
          <w:b/>
          <w:color w:val="1F497D" w:themeColor="text2"/>
          <w:lang w:val="fr-FR" w:eastAsia="en-US"/>
        </w:rPr>
      </w:pPr>
    </w:p>
    <w:p w14:paraId="13098443" w14:textId="51EB74A0" w:rsidR="0067101F" w:rsidRPr="00C96435" w:rsidRDefault="0067101F" w:rsidP="00C96435">
      <w:pPr>
        <w:rPr>
          <w:lang w:val="fr-FR" w:eastAsia="en-US"/>
        </w:rPr>
      </w:pPr>
      <w:r w:rsidRPr="00E51722">
        <w:rPr>
          <w:lang w:val="fr-FR" w:eastAsia="en-US"/>
        </w:rPr>
        <w:t>Une commission Ad-hoc se réunit pour émettre un avis individualisé pour chaque demande.</w:t>
      </w:r>
      <w:r>
        <w:rPr>
          <w:lang w:val="fr-FR" w:eastAsia="en-US"/>
        </w:rPr>
        <w:t xml:space="preserve">  </w:t>
      </w:r>
    </w:p>
    <w:p w14:paraId="6252E4D1" w14:textId="3DFF2CAD" w:rsidR="0067101F" w:rsidRPr="0067101F" w:rsidRDefault="0067101F" w:rsidP="0067101F">
      <w:pPr>
        <w:pStyle w:val="Paragraphedeliste"/>
        <w:numPr>
          <w:ilvl w:val="0"/>
          <w:numId w:val="11"/>
        </w:numPr>
        <w:spacing w:after="0"/>
        <w:jc w:val="both"/>
        <w:rPr>
          <w:b/>
          <w:color w:val="1F497D" w:themeColor="text2"/>
          <w:lang w:val="fr-FR" w:eastAsia="en-US"/>
        </w:rPr>
      </w:pPr>
      <w:r>
        <w:rPr>
          <w:b/>
          <w:color w:val="1F497D" w:themeColor="text2"/>
          <w:lang w:val="fr-FR" w:eastAsia="en-US"/>
        </w:rPr>
        <w:t>Les régimes spécifiques</w:t>
      </w:r>
    </w:p>
    <w:p w14:paraId="0CD4E9DA" w14:textId="77777777" w:rsidR="0067101F" w:rsidRPr="00BE16FE" w:rsidRDefault="0067101F" w:rsidP="00C06F00">
      <w:pPr>
        <w:spacing w:after="0"/>
        <w:ind w:left="360"/>
        <w:jc w:val="both"/>
        <w:rPr>
          <w:b/>
          <w:color w:val="1F497D" w:themeColor="text2"/>
          <w:lang w:val="fr-FR" w:eastAsia="en-US"/>
        </w:rPr>
      </w:pPr>
    </w:p>
    <w:p w14:paraId="4A6E7EBF" w14:textId="765E6843" w:rsidR="00D97005" w:rsidRDefault="00AE1B42" w:rsidP="00D97005">
      <w:pPr>
        <w:jc w:val="both"/>
        <w:rPr>
          <w:rFonts w:asciiTheme="majorHAnsi" w:hAnsiTheme="majorHAnsi"/>
          <w:lang w:val="fr-FR" w:eastAsia="en-US"/>
        </w:rPr>
      </w:pPr>
      <w:r>
        <w:rPr>
          <w:rFonts w:asciiTheme="majorHAnsi" w:hAnsiTheme="majorHAnsi"/>
          <w:lang w:val="fr-FR" w:eastAsia="en-US"/>
        </w:rPr>
        <w:t xml:space="preserve">a) </w:t>
      </w:r>
      <w:r w:rsidR="00D97005" w:rsidRPr="00D97005">
        <w:rPr>
          <w:rFonts w:asciiTheme="majorHAnsi" w:hAnsiTheme="majorHAnsi"/>
          <w:lang w:val="fr-FR" w:eastAsia="en-US"/>
        </w:rPr>
        <w:t>Notes de sport et/ou de culture</w:t>
      </w:r>
      <w:r w:rsidR="00D97005">
        <w:rPr>
          <w:rFonts w:asciiTheme="majorHAnsi" w:hAnsiTheme="majorHAnsi"/>
          <w:lang w:val="fr-FR" w:eastAsia="en-US"/>
        </w:rPr>
        <w:t> :</w:t>
      </w:r>
    </w:p>
    <w:p w14:paraId="0D1A89D9" w14:textId="4E5EE4E5" w:rsidR="00D97005" w:rsidRDefault="00D97005" w:rsidP="00D97005">
      <w:pPr>
        <w:jc w:val="both"/>
        <w:rPr>
          <w:rFonts w:asciiTheme="majorHAnsi" w:hAnsiTheme="majorHAnsi"/>
          <w:lang w:val="fr-FR" w:eastAsia="en-US"/>
        </w:rPr>
      </w:pPr>
      <w:r>
        <w:rPr>
          <w:rFonts w:asciiTheme="majorHAnsi" w:hAnsiTheme="majorHAnsi"/>
          <w:lang w:val="fr-FR" w:eastAsia="en-US"/>
        </w:rPr>
        <w:t xml:space="preserve"> </w:t>
      </w:r>
      <w:r w:rsidRPr="00D97005">
        <w:rPr>
          <w:rFonts w:asciiTheme="majorHAnsi" w:hAnsiTheme="majorHAnsi"/>
          <w:lang w:val="fr-FR" w:eastAsia="en-US"/>
        </w:rPr>
        <w:t>Seules sont prises en compte les notes validées et transmises par les services compétents de l’USPN.</w:t>
      </w:r>
      <w:r>
        <w:rPr>
          <w:rFonts w:asciiTheme="majorHAnsi" w:hAnsiTheme="majorHAnsi"/>
          <w:lang w:val="fr-FR" w:eastAsia="en-US"/>
        </w:rPr>
        <w:t xml:space="preserve"> </w:t>
      </w:r>
      <w:r w:rsidRPr="00D97005">
        <w:rPr>
          <w:rFonts w:asciiTheme="majorHAnsi" w:hAnsiTheme="majorHAnsi"/>
          <w:lang w:val="fr-FR" w:eastAsia="en-US"/>
        </w:rPr>
        <w:t xml:space="preserve">Pour chaque note (moyenne des notes sport et/ou de culture), si elle est supérieure à 10, on ajoute à la moyenne générale de l’étudiant (sur 20) les points au-dessus de 10 multipliés par </w:t>
      </w:r>
      <w:r w:rsidR="00036B26">
        <w:rPr>
          <w:rFonts w:asciiTheme="majorHAnsi" w:hAnsiTheme="majorHAnsi"/>
          <w:lang w:val="fr-FR" w:eastAsia="en-US"/>
        </w:rPr>
        <w:t>un coefficient préalablement fixé</w:t>
      </w:r>
      <w:r w:rsidRPr="00D97005">
        <w:rPr>
          <w:rFonts w:asciiTheme="majorHAnsi" w:hAnsiTheme="majorHAnsi"/>
          <w:lang w:val="fr-FR" w:eastAsia="en-US"/>
        </w:rPr>
        <w:t>. Les points en-dessous de 10 ne sont pas pris en compte.</w:t>
      </w:r>
      <w:r>
        <w:rPr>
          <w:rFonts w:asciiTheme="majorHAnsi" w:hAnsiTheme="majorHAnsi"/>
          <w:lang w:val="fr-FR" w:eastAsia="en-US"/>
        </w:rPr>
        <w:t xml:space="preserve"> </w:t>
      </w:r>
      <w:r w:rsidRPr="00D97005">
        <w:rPr>
          <w:rFonts w:asciiTheme="majorHAnsi" w:hAnsiTheme="majorHAnsi"/>
          <w:lang w:val="fr-FR" w:eastAsia="en-US"/>
        </w:rPr>
        <w:t>Ces notes n’interviennent donc pas pour l’évaluation des moyennes des unités d’enseignement prévues par l’arrêté du 3 août 2005.</w:t>
      </w:r>
      <w:r>
        <w:rPr>
          <w:rFonts w:asciiTheme="majorHAnsi" w:hAnsiTheme="majorHAnsi"/>
          <w:lang w:val="fr-FR" w:eastAsia="en-US"/>
        </w:rPr>
        <w:t xml:space="preserve"> </w:t>
      </w:r>
    </w:p>
    <w:p w14:paraId="5002FDFF" w14:textId="2E8EDECE" w:rsidR="00D97005" w:rsidRDefault="00AE1B42" w:rsidP="00D97005">
      <w:pPr>
        <w:jc w:val="both"/>
        <w:rPr>
          <w:rFonts w:asciiTheme="majorHAnsi" w:hAnsiTheme="majorHAnsi"/>
          <w:lang w:val="fr-FR" w:eastAsia="en-US"/>
        </w:rPr>
      </w:pPr>
      <w:r>
        <w:rPr>
          <w:rFonts w:asciiTheme="majorHAnsi" w:hAnsiTheme="majorHAnsi"/>
          <w:lang w:val="fr-FR" w:eastAsia="en-US"/>
        </w:rPr>
        <w:t xml:space="preserve">b) </w:t>
      </w:r>
      <w:r w:rsidR="00D97005" w:rsidRPr="00D97005">
        <w:rPr>
          <w:rFonts w:asciiTheme="majorHAnsi" w:hAnsiTheme="majorHAnsi"/>
          <w:lang w:val="fr-FR" w:eastAsia="en-US"/>
        </w:rPr>
        <w:t>Notes pour la reconnaissance de l’engagement étudiant</w:t>
      </w:r>
      <w:r w:rsidR="00D97005">
        <w:rPr>
          <w:rFonts w:asciiTheme="majorHAnsi" w:hAnsiTheme="majorHAnsi"/>
          <w:lang w:val="fr-FR" w:eastAsia="en-US"/>
        </w:rPr>
        <w:t> :</w:t>
      </w:r>
    </w:p>
    <w:p w14:paraId="0EBC56AB" w14:textId="04522FD6" w:rsidR="00C06F00" w:rsidRPr="00C96435" w:rsidRDefault="00D97005" w:rsidP="00C96435">
      <w:pPr>
        <w:jc w:val="both"/>
        <w:rPr>
          <w:b/>
          <w:sz w:val="12"/>
          <w:lang w:val="fr-FR" w:eastAsia="en-US"/>
        </w:rPr>
      </w:pPr>
      <w:r w:rsidRPr="00D97005">
        <w:rPr>
          <w:rFonts w:asciiTheme="majorHAnsi" w:hAnsiTheme="majorHAnsi"/>
          <w:lang w:val="fr-FR" w:eastAsia="en-US"/>
        </w:rPr>
        <w:t>Seule est prise en compte la note validée et transmise par le responsable de formation et/ou le chef de département</w:t>
      </w:r>
      <w:r>
        <w:rPr>
          <w:rFonts w:asciiTheme="majorHAnsi" w:hAnsiTheme="majorHAnsi"/>
          <w:lang w:val="fr-FR" w:eastAsia="en-US"/>
        </w:rPr>
        <w:t xml:space="preserve">. </w:t>
      </w:r>
      <w:r w:rsidRPr="00D97005">
        <w:rPr>
          <w:rFonts w:asciiTheme="majorHAnsi" w:hAnsiTheme="majorHAnsi"/>
          <w:lang w:val="fr-FR" w:eastAsia="en-US"/>
        </w:rPr>
        <w:t xml:space="preserve">Si la note est supérieure à 10, on ajoute à la moyenne générale de l’étudiant (sur 20) les points au-dessus de 10 multipliés par </w:t>
      </w:r>
      <w:r w:rsidR="00036B26">
        <w:rPr>
          <w:rFonts w:asciiTheme="majorHAnsi" w:hAnsiTheme="majorHAnsi"/>
          <w:lang w:val="fr-FR" w:eastAsia="en-US"/>
        </w:rPr>
        <w:t>un coefficient préalablement fixé</w:t>
      </w:r>
      <w:r w:rsidRPr="00D97005">
        <w:rPr>
          <w:rFonts w:asciiTheme="majorHAnsi" w:hAnsiTheme="majorHAnsi"/>
          <w:lang w:val="fr-FR" w:eastAsia="en-US"/>
        </w:rPr>
        <w:t>. Les points en-dessous de 10 ne sont pas pris en compte.</w:t>
      </w:r>
      <w:r>
        <w:rPr>
          <w:rFonts w:asciiTheme="majorHAnsi" w:hAnsiTheme="majorHAnsi"/>
          <w:lang w:val="fr-FR" w:eastAsia="en-US"/>
        </w:rPr>
        <w:t xml:space="preserve"> </w:t>
      </w:r>
      <w:r w:rsidRPr="00D97005">
        <w:rPr>
          <w:rFonts w:asciiTheme="majorHAnsi" w:hAnsiTheme="majorHAnsi"/>
          <w:lang w:val="fr-FR" w:eastAsia="en-US"/>
        </w:rPr>
        <w:t>Ces</w:t>
      </w:r>
      <w:r>
        <w:rPr>
          <w:rFonts w:asciiTheme="majorHAnsi" w:hAnsiTheme="majorHAnsi"/>
          <w:lang w:val="fr-FR" w:eastAsia="en-US"/>
        </w:rPr>
        <w:t xml:space="preserve"> </w:t>
      </w:r>
      <w:r w:rsidRPr="00D97005">
        <w:rPr>
          <w:rFonts w:asciiTheme="majorHAnsi" w:hAnsiTheme="majorHAnsi"/>
          <w:lang w:val="fr-FR" w:eastAsia="en-US"/>
        </w:rPr>
        <w:t>notes n’interviennent donc pas pour l’évaluation des moyennes des unités d’enseignement prévues par l’arrêté du 3 août 2005.</w:t>
      </w:r>
    </w:p>
    <w:p w14:paraId="73A24834" w14:textId="5D8A19DF" w:rsidR="0067101F" w:rsidRDefault="0067101F" w:rsidP="00C06F00">
      <w:pPr>
        <w:spacing w:after="0"/>
        <w:ind w:left="360"/>
        <w:jc w:val="both"/>
        <w:rPr>
          <w:b/>
          <w:color w:val="1F497D" w:themeColor="text2"/>
          <w:lang w:val="fr-FR" w:eastAsia="en-US"/>
        </w:rPr>
      </w:pPr>
      <w:r>
        <w:rPr>
          <w:b/>
          <w:color w:val="1F497D" w:themeColor="text2"/>
          <w:lang w:val="fr-FR" w:eastAsia="en-US"/>
        </w:rPr>
        <w:t>10</w:t>
      </w:r>
      <w:r w:rsidR="00BE16FE">
        <w:rPr>
          <w:b/>
          <w:color w:val="1F497D" w:themeColor="text2"/>
          <w:lang w:val="fr-FR" w:eastAsia="en-US"/>
        </w:rPr>
        <w:t xml:space="preserve">. </w:t>
      </w:r>
      <w:r w:rsidR="004C192F" w:rsidRPr="00BE16FE">
        <w:rPr>
          <w:b/>
          <w:color w:val="1F497D" w:themeColor="text2"/>
          <w:lang w:val="fr-FR" w:eastAsia="en-US"/>
        </w:rPr>
        <w:t>L</w:t>
      </w:r>
      <w:r w:rsidR="008D6B1F" w:rsidRPr="00BE16FE">
        <w:rPr>
          <w:b/>
          <w:color w:val="1F497D" w:themeColor="text2"/>
          <w:lang w:val="fr-FR" w:eastAsia="en-US"/>
        </w:rPr>
        <w:t>a gestion des examens</w:t>
      </w:r>
    </w:p>
    <w:p w14:paraId="1CD36A93" w14:textId="7E134F6C" w:rsidR="004C192F" w:rsidRDefault="004C192F" w:rsidP="00C06F00">
      <w:pPr>
        <w:spacing w:after="0"/>
        <w:ind w:left="360"/>
        <w:jc w:val="both"/>
        <w:rPr>
          <w:b/>
          <w:color w:val="1F497D" w:themeColor="text2"/>
          <w:lang w:val="fr-FR" w:eastAsia="en-US"/>
        </w:rPr>
      </w:pPr>
    </w:p>
    <w:p w14:paraId="21BAEF7B" w14:textId="54977060" w:rsidR="00437385" w:rsidRDefault="00437385" w:rsidP="00437385">
      <w:pPr>
        <w:jc w:val="both"/>
        <w:rPr>
          <w:lang w:val="fr-FR" w:eastAsia="en-US"/>
        </w:rPr>
      </w:pPr>
      <w:r>
        <w:rPr>
          <w:lang w:val="fr-FR" w:eastAsia="en-US"/>
        </w:rPr>
        <w:t>Jurys et fin de formation :</w:t>
      </w:r>
    </w:p>
    <w:p w14:paraId="6193D484" w14:textId="67DC6958" w:rsidR="00437385" w:rsidRPr="00437385" w:rsidRDefault="00437385" w:rsidP="00437385">
      <w:pPr>
        <w:jc w:val="both"/>
        <w:rPr>
          <w:lang w:val="fr-FR" w:eastAsia="en-US"/>
        </w:rPr>
      </w:pPr>
      <w:r w:rsidRPr="00AE1B42">
        <w:rPr>
          <w:lang w:val="fr-FR" w:eastAsia="en-US"/>
        </w:rPr>
        <w:t>A la fin du S6</w:t>
      </w:r>
      <w:r w:rsidR="00D952A8" w:rsidRPr="00AE1B42">
        <w:rPr>
          <w:lang w:val="fr-FR" w:eastAsia="en-US"/>
        </w:rPr>
        <w:t xml:space="preserve"> et avant la tenue du jury</w:t>
      </w:r>
      <w:r w:rsidRPr="00AE1B42">
        <w:rPr>
          <w:lang w:val="fr-FR" w:eastAsia="en-US"/>
        </w:rPr>
        <w:t xml:space="preserve"> </w:t>
      </w:r>
      <w:r w:rsidR="00D952A8" w:rsidRPr="00AE1B42">
        <w:rPr>
          <w:lang w:val="fr-FR" w:eastAsia="en-US"/>
        </w:rPr>
        <w:t xml:space="preserve">de délivrance </w:t>
      </w:r>
      <w:r w:rsidRPr="00AE1B42">
        <w:rPr>
          <w:lang w:val="fr-FR" w:eastAsia="en-US"/>
        </w:rPr>
        <w:t>(pour le BUT), une commission composée</w:t>
      </w:r>
      <w:r w:rsidRPr="00437385">
        <w:rPr>
          <w:lang w:val="fr-FR" w:eastAsia="en-US"/>
        </w:rPr>
        <w:t xml:space="preserve"> du Chef de Département, du Directeur des Études et de tous les enseignants propose :</w:t>
      </w:r>
    </w:p>
    <w:p w14:paraId="7F4CB35A" w14:textId="77777777" w:rsidR="00437385" w:rsidRPr="00437385" w:rsidRDefault="00437385" w:rsidP="00437385">
      <w:pPr>
        <w:jc w:val="both"/>
        <w:rPr>
          <w:lang w:val="fr-FR" w:eastAsia="en-US"/>
        </w:rPr>
      </w:pPr>
      <w:r w:rsidRPr="00437385">
        <w:rPr>
          <w:lang w:val="fr-FR" w:eastAsia="en-US"/>
        </w:rPr>
        <w:t>•</w:t>
      </w:r>
      <w:r w:rsidRPr="00437385">
        <w:rPr>
          <w:lang w:val="fr-FR" w:eastAsia="en-US"/>
        </w:rPr>
        <w:tab/>
        <w:t>la liste des étudiants lauréats des diplômes ;</w:t>
      </w:r>
    </w:p>
    <w:p w14:paraId="3C897703" w14:textId="77777777" w:rsidR="00437385" w:rsidRPr="00437385" w:rsidRDefault="00437385" w:rsidP="00437385">
      <w:pPr>
        <w:jc w:val="both"/>
        <w:rPr>
          <w:lang w:val="fr-FR" w:eastAsia="en-US"/>
        </w:rPr>
      </w:pPr>
      <w:r w:rsidRPr="00437385">
        <w:rPr>
          <w:lang w:val="fr-FR" w:eastAsia="en-US"/>
        </w:rPr>
        <w:lastRenderedPageBreak/>
        <w:t>•</w:t>
      </w:r>
      <w:r w:rsidRPr="00437385">
        <w:rPr>
          <w:lang w:val="fr-FR" w:eastAsia="en-US"/>
        </w:rPr>
        <w:tab/>
        <w:t>la liste des étudiants admis à redoubler ;</w:t>
      </w:r>
    </w:p>
    <w:p w14:paraId="00A7768D" w14:textId="77777777" w:rsidR="00437385" w:rsidRPr="00437385" w:rsidRDefault="00437385" w:rsidP="00437385">
      <w:pPr>
        <w:jc w:val="both"/>
        <w:rPr>
          <w:lang w:val="fr-FR" w:eastAsia="en-US"/>
        </w:rPr>
      </w:pPr>
      <w:r w:rsidRPr="00437385">
        <w:rPr>
          <w:lang w:val="fr-FR" w:eastAsia="en-US"/>
        </w:rPr>
        <w:t>•</w:t>
      </w:r>
      <w:r w:rsidRPr="00437385">
        <w:rPr>
          <w:lang w:val="fr-FR" w:eastAsia="en-US"/>
        </w:rPr>
        <w:tab/>
        <w:t>la liste des étudiants non admis à redoubler.</w:t>
      </w:r>
    </w:p>
    <w:p w14:paraId="337BA523" w14:textId="77777777" w:rsidR="00437385" w:rsidRPr="00437385" w:rsidRDefault="00437385" w:rsidP="00437385">
      <w:pPr>
        <w:jc w:val="both"/>
        <w:rPr>
          <w:lang w:val="fr-FR" w:eastAsia="en-US"/>
        </w:rPr>
      </w:pPr>
      <w:r w:rsidRPr="00437385">
        <w:rPr>
          <w:lang w:val="fr-FR" w:eastAsia="en-US"/>
        </w:rPr>
        <w:t xml:space="preserve">Le diplôme BUT portant mention de la délibération du jury, de la spécialité correspondante, et, s’il y a lieu, de l’option suivie, sont délivrés par le Directeur de l’IUT sur proposition du jury, 6 semestres sont validés conformément au paragraphe 3 ci-dessus. </w:t>
      </w:r>
    </w:p>
    <w:p w14:paraId="6A8145D3" w14:textId="66867706" w:rsidR="00D952A8" w:rsidRDefault="00D952A8" w:rsidP="00437385">
      <w:pPr>
        <w:jc w:val="both"/>
        <w:rPr>
          <w:lang w:val="fr-FR" w:eastAsia="en-US"/>
        </w:rPr>
      </w:pPr>
      <w:r>
        <w:rPr>
          <w:lang w:val="fr-FR" w:eastAsia="en-US"/>
        </w:rPr>
        <w:t>Sur l’ensemble du cursus BUT, l’étudiant peut être autorisé à redoubler une seule fois chaque semestre dans la limite de quatre redoublements. Le jury peut refuser l’autorisation de redoubler et prononcer la réorientation après avoir entendu l’étudiant à sa demande en la motivant et en l’assortissant de conseils d’orientation.</w:t>
      </w:r>
    </w:p>
    <w:p w14:paraId="3950A744" w14:textId="59D814CC" w:rsidR="00D952A8" w:rsidRDefault="00D952A8" w:rsidP="00437385">
      <w:pPr>
        <w:jc w:val="both"/>
        <w:rPr>
          <w:lang w:val="fr-FR" w:eastAsia="en-US"/>
        </w:rPr>
      </w:pPr>
      <w:r>
        <w:rPr>
          <w:lang w:val="fr-FR" w:eastAsia="en-US"/>
        </w:rPr>
        <w:t xml:space="preserve">Pour un étudiant en FA, un apprenti ne peut redoubler que l’année de diplomation, BUT 3. </w:t>
      </w:r>
    </w:p>
    <w:p w14:paraId="09EF1BCF" w14:textId="12B2A56F" w:rsidR="00437385" w:rsidRDefault="00437385" w:rsidP="00437385">
      <w:pPr>
        <w:jc w:val="both"/>
        <w:rPr>
          <w:lang w:val="fr-FR" w:eastAsia="en-US"/>
        </w:rPr>
      </w:pPr>
      <w:r w:rsidRPr="00437385">
        <w:rPr>
          <w:lang w:val="fr-FR" w:eastAsia="en-US"/>
        </w:rPr>
        <w:t>Les jurys sont souverains et délibèrent en l’absence de tout étudiant. Leur information est constituée par le relevé général des notes, la fiche individuelle de chaque étudiant et l’appréciation des enseignants. Avant leur délibération, les délégués étudiants peuvent leur apporter des informations complémentaires.</w:t>
      </w:r>
    </w:p>
    <w:p w14:paraId="25964D05" w14:textId="15CC8707" w:rsidR="00437385" w:rsidRDefault="00437385" w:rsidP="00437385">
      <w:pPr>
        <w:jc w:val="both"/>
        <w:rPr>
          <w:lang w:val="fr-FR" w:eastAsia="en-US"/>
        </w:rPr>
      </w:pPr>
      <w:r>
        <w:rPr>
          <w:lang w:val="fr-FR" w:eastAsia="en-US"/>
        </w:rPr>
        <w:t>Affichage des résultats, consultation des copies :</w:t>
      </w:r>
    </w:p>
    <w:p w14:paraId="340FD420" w14:textId="7FCAE3E9" w:rsidR="00437385" w:rsidRPr="00437385" w:rsidRDefault="00437385" w:rsidP="00437385">
      <w:pPr>
        <w:jc w:val="both"/>
        <w:rPr>
          <w:lang w:val="fr-FR" w:eastAsia="en-US"/>
        </w:rPr>
      </w:pPr>
      <w:r w:rsidRPr="00437385">
        <w:rPr>
          <w:lang w:val="fr-FR" w:eastAsia="en-US"/>
        </w:rPr>
        <w:t xml:space="preserve">Après proclamation des résultats, le jury est tenu de communiquer les notes aux étudiants, en respectant, le cas échéant, les procédures d’anonymat. </w:t>
      </w:r>
    </w:p>
    <w:p w14:paraId="47E17313" w14:textId="73856A0D" w:rsidR="00CC465B" w:rsidRDefault="00437385" w:rsidP="00437385">
      <w:pPr>
        <w:jc w:val="both"/>
        <w:rPr>
          <w:lang w:val="fr-FR" w:eastAsia="en-US"/>
        </w:rPr>
      </w:pPr>
      <w:r w:rsidRPr="00437385">
        <w:rPr>
          <w:lang w:val="fr-FR" w:eastAsia="en-US"/>
        </w:rPr>
        <w:t>Les étudiants ont droit, sur leur demande et dans un délai raisonnable, à la consultation de leurs copies et à un entretien avec le responsable de B</w:t>
      </w:r>
      <w:r w:rsidR="00036B26">
        <w:rPr>
          <w:lang w:val="fr-FR" w:eastAsia="en-US"/>
        </w:rPr>
        <w:t>U</w:t>
      </w:r>
      <w:r w:rsidRPr="00437385">
        <w:rPr>
          <w:lang w:val="fr-FR" w:eastAsia="en-US"/>
        </w:rPr>
        <w:t>T ou d’année.</w:t>
      </w:r>
    </w:p>
    <w:p w14:paraId="1F31707E" w14:textId="77777777" w:rsidR="00544AC6" w:rsidRDefault="00544AC6" w:rsidP="00544AC6">
      <w:pPr>
        <w:jc w:val="both"/>
        <w:rPr>
          <w:lang w:val="fr-FR" w:eastAsia="en-US"/>
        </w:rPr>
      </w:pPr>
      <w:r>
        <w:rPr>
          <w:lang w:val="fr-FR" w:eastAsia="en-US"/>
        </w:rPr>
        <w:t xml:space="preserve">Plagiat  </w:t>
      </w:r>
    </w:p>
    <w:p w14:paraId="46B55B5A" w14:textId="77777777" w:rsidR="00544AC6" w:rsidRPr="009975BB" w:rsidRDefault="00544AC6" w:rsidP="00544AC6">
      <w:pPr>
        <w:jc w:val="both"/>
        <w:rPr>
          <w:lang w:val="fr-FR" w:eastAsia="en-US"/>
        </w:rPr>
      </w:pPr>
      <w:r w:rsidRPr="009975BB">
        <w:rPr>
          <w:lang w:val="fr-FR" w:eastAsia="en-US"/>
        </w:rPr>
        <w:t>Le plagiat est le délit de contrefaçon défini à l’article L335-2 du code de la propriété</w:t>
      </w:r>
      <w:r>
        <w:rPr>
          <w:lang w:val="fr-FR" w:eastAsia="en-US"/>
        </w:rPr>
        <w:t xml:space="preserve"> </w:t>
      </w:r>
      <w:r w:rsidRPr="009975BB">
        <w:rPr>
          <w:lang w:val="fr-FR" w:eastAsia="en-US"/>
        </w:rPr>
        <w:t>intellectuelle à savoir : “ toute édition d’écrits, de composition m</w:t>
      </w:r>
      <w:r>
        <w:rPr>
          <w:lang w:val="fr-FR" w:eastAsia="en-US"/>
        </w:rPr>
        <w:t xml:space="preserve">usicale, de dessin, de peinture </w:t>
      </w:r>
      <w:r w:rsidRPr="009975BB">
        <w:rPr>
          <w:lang w:val="fr-FR" w:eastAsia="en-US"/>
        </w:rPr>
        <w:t>ou de toute autre production, imprimée ou gravée en entier ou en pa</w:t>
      </w:r>
      <w:r>
        <w:rPr>
          <w:lang w:val="fr-FR" w:eastAsia="en-US"/>
        </w:rPr>
        <w:t xml:space="preserve">rtie, au mépris des lois et </w:t>
      </w:r>
      <w:r w:rsidRPr="009975BB">
        <w:rPr>
          <w:lang w:val="fr-FR" w:eastAsia="en-US"/>
        </w:rPr>
        <w:t>règlements relatifs à la propriété des auteurs”.</w:t>
      </w:r>
    </w:p>
    <w:p w14:paraId="367E73C6" w14:textId="77777777" w:rsidR="00544AC6" w:rsidRDefault="00544AC6" w:rsidP="00544AC6">
      <w:pPr>
        <w:jc w:val="both"/>
        <w:rPr>
          <w:lang w:val="fr-FR" w:eastAsia="en-US"/>
        </w:rPr>
      </w:pPr>
      <w:r w:rsidRPr="009975BB">
        <w:rPr>
          <w:lang w:val="fr-FR" w:eastAsia="en-US"/>
        </w:rPr>
        <w:t>L’étudiant qui remet un devoir, un mémoire, ou tout docum</w:t>
      </w:r>
      <w:r>
        <w:rPr>
          <w:lang w:val="fr-FR" w:eastAsia="en-US"/>
        </w:rPr>
        <w:t xml:space="preserve">ent écrit servant à évaluer ses </w:t>
      </w:r>
      <w:r w:rsidRPr="009975BB">
        <w:rPr>
          <w:lang w:val="fr-FR" w:eastAsia="en-US"/>
        </w:rPr>
        <w:t>connaissances, ses compétences ou ses aptitudes dan</w:t>
      </w:r>
      <w:r>
        <w:rPr>
          <w:lang w:val="fr-FR" w:eastAsia="en-US"/>
        </w:rPr>
        <w:t xml:space="preserve">s le cadre de sa formation doit </w:t>
      </w:r>
      <w:r w:rsidRPr="009975BB">
        <w:rPr>
          <w:lang w:val="fr-FR" w:eastAsia="en-US"/>
        </w:rPr>
        <w:t>s’assurer qu’il ne comporte pas de phrase, de paragraphe</w:t>
      </w:r>
      <w:r>
        <w:rPr>
          <w:lang w:val="fr-FR" w:eastAsia="en-US"/>
        </w:rPr>
        <w:t xml:space="preserve">, ou, plus largement de passage </w:t>
      </w:r>
      <w:r w:rsidRPr="009975BB">
        <w:rPr>
          <w:lang w:val="fr-FR" w:eastAsia="en-US"/>
        </w:rPr>
        <w:t>plagié. Sont permises les courtes citations lesquelles doivent être assorties des références qui</w:t>
      </w:r>
      <w:r>
        <w:rPr>
          <w:lang w:val="fr-FR" w:eastAsia="en-US"/>
        </w:rPr>
        <w:t xml:space="preserve"> leur sont associées.</w:t>
      </w:r>
    </w:p>
    <w:p w14:paraId="67727163" w14:textId="3ED9D028" w:rsidR="009B6C5E" w:rsidRPr="00CC465B" w:rsidRDefault="00544AC6" w:rsidP="00437385">
      <w:pPr>
        <w:jc w:val="both"/>
        <w:rPr>
          <w:lang w:val="fr-FR" w:eastAsia="en-US"/>
        </w:rPr>
      </w:pPr>
      <w:r w:rsidRPr="009975BB">
        <w:rPr>
          <w:lang w:val="fr-FR" w:eastAsia="en-US"/>
        </w:rPr>
        <w:t>Le plagiat peut donner lieu comme t</w:t>
      </w:r>
      <w:r>
        <w:rPr>
          <w:lang w:val="fr-FR" w:eastAsia="en-US"/>
        </w:rPr>
        <w:t xml:space="preserve">outes fraudes aux examens à une </w:t>
      </w:r>
      <w:r w:rsidRPr="009975BB">
        <w:rPr>
          <w:lang w:val="fr-FR" w:eastAsia="en-US"/>
        </w:rPr>
        <w:t>sanction disciplinaire prononcée par la section discipl</w:t>
      </w:r>
      <w:r>
        <w:rPr>
          <w:lang w:val="fr-FR" w:eastAsia="en-US"/>
        </w:rPr>
        <w:t xml:space="preserve">inaire de l’Université </w:t>
      </w:r>
      <w:r w:rsidRPr="009975BB">
        <w:rPr>
          <w:lang w:val="fr-FR" w:eastAsia="en-US"/>
        </w:rPr>
        <w:t>indépendante de la mise</w:t>
      </w:r>
      <w:r>
        <w:rPr>
          <w:lang w:val="fr-FR" w:eastAsia="en-US"/>
        </w:rPr>
        <w:t xml:space="preserve"> en œuvre de sanctions pénales.</w:t>
      </w:r>
    </w:p>
    <w:p w14:paraId="3F1900C2" w14:textId="1AF85A77" w:rsidR="00CC465B" w:rsidRPr="00762171" w:rsidRDefault="00762171" w:rsidP="00762171">
      <w:pPr>
        <w:spacing w:after="0"/>
        <w:ind w:left="360"/>
        <w:jc w:val="both"/>
        <w:rPr>
          <w:b/>
          <w:color w:val="1F497D" w:themeColor="text2"/>
          <w:lang w:val="fr-FR" w:eastAsia="en-US"/>
        </w:rPr>
      </w:pPr>
      <w:r>
        <w:rPr>
          <w:b/>
          <w:color w:val="1F497D" w:themeColor="text2"/>
          <w:lang w:val="fr-FR" w:eastAsia="en-US"/>
        </w:rPr>
        <w:t xml:space="preserve">11. </w:t>
      </w:r>
      <w:r w:rsidR="00CC465B" w:rsidRPr="00762171">
        <w:rPr>
          <w:b/>
          <w:color w:val="1F497D" w:themeColor="text2"/>
          <w:lang w:val="fr-FR" w:eastAsia="en-US"/>
        </w:rPr>
        <w:t xml:space="preserve">Evaluation des enseignements </w:t>
      </w:r>
    </w:p>
    <w:p w14:paraId="0A64C4B0" w14:textId="77777777" w:rsidR="00D952A8" w:rsidRPr="00D952A8" w:rsidRDefault="00D952A8" w:rsidP="00D952A8">
      <w:pPr>
        <w:spacing w:after="0"/>
        <w:ind w:left="360"/>
        <w:jc w:val="both"/>
        <w:rPr>
          <w:b/>
          <w:color w:val="1F497D" w:themeColor="text2"/>
          <w:lang w:val="fr-FR" w:eastAsia="en-US"/>
        </w:rPr>
      </w:pPr>
    </w:p>
    <w:p w14:paraId="6659D338" w14:textId="0D054B0C" w:rsidR="00D97005" w:rsidRDefault="00D97005" w:rsidP="00D97005">
      <w:pPr>
        <w:jc w:val="both"/>
        <w:rPr>
          <w:lang w:val="fr-FR" w:eastAsia="en-US"/>
        </w:rPr>
      </w:pPr>
      <w:r>
        <w:rPr>
          <w:lang w:val="fr-FR" w:eastAsia="en-US"/>
        </w:rPr>
        <w:t>Le contrôle des connaissances est continu et régulier, il prend en compte :</w:t>
      </w:r>
    </w:p>
    <w:p w14:paraId="7392E77A" w14:textId="1435931F" w:rsidR="00D97005" w:rsidRPr="00D97005" w:rsidRDefault="00D97005" w:rsidP="00D97005">
      <w:pPr>
        <w:pStyle w:val="Paragraphedeliste"/>
        <w:numPr>
          <w:ilvl w:val="0"/>
          <w:numId w:val="14"/>
        </w:numPr>
        <w:jc w:val="both"/>
        <w:rPr>
          <w:lang w:val="fr-FR" w:eastAsia="en-US"/>
        </w:rPr>
      </w:pPr>
      <w:r w:rsidRPr="00D97005">
        <w:rPr>
          <w:lang w:val="fr-FR" w:eastAsia="en-US"/>
        </w:rPr>
        <w:t>Les contrôles individuels écrits et oraux</w:t>
      </w:r>
    </w:p>
    <w:p w14:paraId="65C71699" w14:textId="32303A91" w:rsidR="00D97005" w:rsidRPr="00D97005" w:rsidRDefault="00D97005" w:rsidP="00D97005">
      <w:pPr>
        <w:pStyle w:val="Paragraphedeliste"/>
        <w:numPr>
          <w:ilvl w:val="0"/>
          <w:numId w:val="14"/>
        </w:numPr>
        <w:jc w:val="both"/>
        <w:rPr>
          <w:lang w:val="fr-FR" w:eastAsia="en-US"/>
        </w:rPr>
      </w:pPr>
      <w:r w:rsidRPr="00D97005">
        <w:rPr>
          <w:lang w:val="fr-FR" w:eastAsia="en-US"/>
        </w:rPr>
        <w:t>Les mémoires correspondant à des projets</w:t>
      </w:r>
    </w:p>
    <w:p w14:paraId="21BADF59" w14:textId="1B36E592" w:rsidR="00D97005" w:rsidRPr="00D97005" w:rsidRDefault="00D97005" w:rsidP="00D97005">
      <w:pPr>
        <w:pStyle w:val="Paragraphedeliste"/>
        <w:numPr>
          <w:ilvl w:val="0"/>
          <w:numId w:val="14"/>
        </w:numPr>
        <w:jc w:val="both"/>
        <w:rPr>
          <w:lang w:val="fr-FR" w:eastAsia="en-US"/>
        </w:rPr>
      </w:pPr>
      <w:r w:rsidRPr="00D97005">
        <w:rPr>
          <w:lang w:val="fr-FR" w:eastAsia="en-US"/>
        </w:rPr>
        <w:t>Les travaux en groupes restreints</w:t>
      </w:r>
    </w:p>
    <w:p w14:paraId="1917252A" w14:textId="5422B46C" w:rsidR="00D97005" w:rsidRPr="00D97005" w:rsidRDefault="00D97005" w:rsidP="00D97005">
      <w:pPr>
        <w:pStyle w:val="Paragraphedeliste"/>
        <w:numPr>
          <w:ilvl w:val="0"/>
          <w:numId w:val="14"/>
        </w:numPr>
        <w:jc w:val="both"/>
        <w:rPr>
          <w:lang w:val="fr-FR" w:eastAsia="en-US"/>
        </w:rPr>
      </w:pPr>
      <w:r w:rsidRPr="00D97005">
        <w:rPr>
          <w:lang w:val="fr-FR" w:eastAsia="en-US"/>
        </w:rPr>
        <w:t>Les travaux et les évaluations en travaux dirigés et en ateliers</w:t>
      </w:r>
    </w:p>
    <w:p w14:paraId="27F968D8" w14:textId="77777777" w:rsidR="00D97005" w:rsidRPr="00D97005" w:rsidRDefault="00D97005" w:rsidP="00D97005">
      <w:pPr>
        <w:jc w:val="both"/>
        <w:rPr>
          <w:lang w:val="fr-FR" w:eastAsia="en-US"/>
        </w:rPr>
      </w:pPr>
      <w:r w:rsidRPr="00D97005">
        <w:rPr>
          <w:lang w:val="fr-FR" w:eastAsia="en-US"/>
        </w:rPr>
        <w:lastRenderedPageBreak/>
        <w:t>Le ou les stages en entreprise font l’objet d’une évaluation particulière. Ils donnent lieu à la rédaction d’un rapport et à une présentation orale par l’étudiant.</w:t>
      </w:r>
    </w:p>
    <w:p w14:paraId="2637DCDE" w14:textId="77777777" w:rsidR="00D97005" w:rsidRPr="00D97005" w:rsidRDefault="00D97005" w:rsidP="00D97005">
      <w:pPr>
        <w:jc w:val="both"/>
        <w:rPr>
          <w:lang w:val="fr-FR" w:eastAsia="en-US"/>
        </w:rPr>
      </w:pPr>
      <w:r w:rsidRPr="00D97005">
        <w:rPr>
          <w:lang w:val="fr-FR" w:eastAsia="en-US"/>
        </w:rPr>
        <w:t>Des modalités pédagogiques spéciales peuvent être mises en place pour certains étudiants (voir article 17 de l’arrêté du 03 Août 2005 en fin de document).</w:t>
      </w:r>
    </w:p>
    <w:p w14:paraId="4821058B" w14:textId="77777777" w:rsidR="00D97005" w:rsidRPr="00D97005" w:rsidRDefault="00D97005" w:rsidP="00D97005">
      <w:pPr>
        <w:jc w:val="both"/>
        <w:rPr>
          <w:lang w:val="fr-FR" w:eastAsia="en-US"/>
        </w:rPr>
      </w:pPr>
      <w:r w:rsidRPr="00D97005">
        <w:rPr>
          <w:lang w:val="fr-FR" w:eastAsia="en-US"/>
        </w:rPr>
        <w:t>Pour assurer le caractère continu et régulier de l’évaluation, les enseignants communiquent aux étudiants les résultats des différents contrôles ou travaux soumis à évaluation dans un délai de 15 jours.</w:t>
      </w:r>
    </w:p>
    <w:p w14:paraId="35DE779E" w14:textId="77777777" w:rsidR="00D97005" w:rsidRPr="00D97005" w:rsidRDefault="00D97005" w:rsidP="00D97005">
      <w:pPr>
        <w:jc w:val="both"/>
        <w:rPr>
          <w:lang w:val="fr-FR" w:eastAsia="en-US"/>
        </w:rPr>
      </w:pPr>
      <w:r w:rsidRPr="00D97005">
        <w:rPr>
          <w:lang w:val="fr-FR" w:eastAsia="en-US"/>
        </w:rPr>
        <w:t xml:space="preserve">Chaque note, qu'elle évalue un travail écrit, oral ou de groupe, doit s'appuyer sur des critères et des attentes identifiés dans l'exercice et/ou des consignes, et identifiables par les étudiants. </w:t>
      </w:r>
    </w:p>
    <w:p w14:paraId="329FC53C" w14:textId="77777777" w:rsidR="00D97005" w:rsidRPr="00D97005" w:rsidRDefault="00D97005" w:rsidP="00D97005">
      <w:pPr>
        <w:jc w:val="both"/>
        <w:rPr>
          <w:lang w:val="fr-FR" w:eastAsia="en-US"/>
        </w:rPr>
      </w:pPr>
      <w:r w:rsidRPr="00D97005">
        <w:rPr>
          <w:lang w:val="fr-FR" w:eastAsia="en-US"/>
        </w:rPr>
        <w:t xml:space="preserve">Celle-ci devra être expliquée en conséquence, notamment dans une perspective formative. </w:t>
      </w:r>
    </w:p>
    <w:p w14:paraId="5181EF90" w14:textId="314E0504" w:rsidR="00C06F00" w:rsidRPr="00C96435" w:rsidRDefault="00D97005" w:rsidP="00C96435">
      <w:pPr>
        <w:jc w:val="both"/>
        <w:rPr>
          <w:lang w:val="fr-FR" w:eastAsia="en-US"/>
        </w:rPr>
      </w:pPr>
      <w:r w:rsidRPr="00D97005">
        <w:rPr>
          <w:lang w:val="fr-FR" w:eastAsia="en-US"/>
        </w:rPr>
        <w:t>Une note d'oral ou de participation requiert une transparence particulière en étant mentionnée comme telle, à travers l'indication du coefficient attribué dans la moyenne et/ou par l'intitulé dans le bulletin de l'étudiant.</w:t>
      </w:r>
    </w:p>
    <w:p w14:paraId="1126CA27" w14:textId="2C24D4D0" w:rsidR="00437385" w:rsidRDefault="00CC465B" w:rsidP="00437385">
      <w:pPr>
        <w:ind w:left="360"/>
        <w:jc w:val="both"/>
        <w:rPr>
          <w:b/>
          <w:color w:val="1F497D" w:themeColor="text2"/>
          <w:lang w:val="fr-FR" w:eastAsia="en-US"/>
        </w:rPr>
      </w:pPr>
      <w:r>
        <w:rPr>
          <w:b/>
          <w:color w:val="1F497D" w:themeColor="text2"/>
          <w:lang w:val="fr-FR" w:eastAsia="en-US"/>
        </w:rPr>
        <w:t>1</w:t>
      </w:r>
      <w:r w:rsidR="00762171">
        <w:rPr>
          <w:b/>
          <w:color w:val="1F497D" w:themeColor="text2"/>
          <w:lang w:val="fr-FR" w:eastAsia="en-US"/>
        </w:rPr>
        <w:t>2</w:t>
      </w:r>
      <w:r w:rsidR="00BE16FE">
        <w:rPr>
          <w:b/>
          <w:color w:val="1F497D" w:themeColor="text2"/>
          <w:lang w:val="fr-FR" w:eastAsia="en-US"/>
        </w:rPr>
        <w:t xml:space="preserve">. </w:t>
      </w:r>
      <w:r w:rsidR="0065552E" w:rsidRPr="00BE16FE">
        <w:rPr>
          <w:b/>
          <w:color w:val="1F497D" w:themeColor="text2"/>
          <w:lang w:val="fr-FR" w:eastAsia="en-US"/>
        </w:rPr>
        <w:t>Droits et devoirs de l’étudiant</w:t>
      </w:r>
    </w:p>
    <w:p w14:paraId="5C8951F9" w14:textId="50294C59" w:rsidR="00437385" w:rsidRPr="00437385" w:rsidRDefault="00437385" w:rsidP="00437385">
      <w:pPr>
        <w:jc w:val="both"/>
        <w:rPr>
          <w:lang w:val="fr-FR" w:eastAsia="en-US"/>
        </w:rPr>
      </w:pPr>
      <w:r w:rsidRPr="00437385">
        <w:rPr>
          <w:lang w:val="fr-FR" w:eastAsia="en-US"/>
        </w:rPr>
        <w:t>Le statut d’étudiant salarié</w:t>
      </w:r>
      <w:r>
        <w:rPr>
          <w:lang w:val="fr-FR" w:eastAsia="en-US"/>
        </w:rPr>
        <w:t> :</w:t>
      </w:r>
    </w:p>
    <w:p w14:paraId="1B1A9A39" w14:textId="77777777" w:rsidR="00437385" w:rsidRPr="00437385" w:rsidRDefault="00437385" w:rsidP="00437385">
      <w:pPr>
        <w:jc w:val="both"/>
        <w:rPr>
          <w:lang w:val="fr-FR" w:eastAsia="en-US"/>
        </w:rPr>
      </w:pPr>
      <w:r w:rsidRPr="00437385">
        <w:rPr>
          <w:lang w:val="fr-FR" w:eastAsia="en-US"/>
        </w:rPr>
        <w:t xml:space="preserve">La CFVU a validé la création d’un statut « d’étudiant salarié » qui permet à l’étudiant de bénéficier d’aménagements dans l’organisation de ses études dans le cadre de contrats courts ou contrats longs. </w:t>
      </w:r>
    </w:p>
    <w:p w14:paraId="669B2B3C" w14:textId="7B6A212F" w:rsidR="00437385" w:rsidRPr="00437385" w:rsidRDefault="00437385" w:rsidP="00437385">
      <w:pPr>
        <w:jc w:val="both"/>
        <w:rPr>
          <w:lang w:val="fr-FR" w:eastAsia="en-US"/>
        </w:rPr>
      </w:pPr>
      <w:r w:rsidRPr="00437385">
        <w:rPr>
          <w:lang w:val="fr-FR" w:eastAsia="en-US"/>
        </w:rPr>
        <w:t>Le dispositif d’année de césure</w:t>
      </w:r>
      <w:r>
        <w:rPr>
          <w:lang w:val="fr-FR" w:eastAsia="en-US"/>
        </w:rPr>
        <w:t> :</w:t>
      </w:r>
    </w:p>
    <w:p w14:paraId="69D69548" w14:textId="77777777" w:rsidR="00437385" w:rsidRPr="00437385" w:rsidRDefault="00437385" w:rsidP="00437385">
      <w:pPr>
        <w:jc w:val="both"/>
        <w:rPr>
          <w:lang w:val="fr-FR" w:eastAsia="en-US"/>
        </w:rPr>
      </w:pPr>
      <w:r w:rsidRPr="00437385">
        <w:rPr>
          <w:lang w:val="fr-FR" w:eastAsia="en-US"/>
        </w:rPr>
        <w:t>La césure est une période facultative qui s’étend sur une durée maximale d’une année universitaire pendant laquelle l’étudiant suspend sa scolarité pour mener à bien un projet personnel ou professionnel, en France comme à l’étranger.</w:t>
      </w:r>
    </w:p>
    <w:p w14:paraId="6829C7FE" w14:textId="77777777" w:rsidR="00437385" w:rsidRPr="00437385" w:rsidRDefault="00437385" w:rsidP="00437385">
      <w:pPr>
        <w:jc w:val="both"/>
        <w:rPr>
          <w:lang w:val="fr-FR" w:eastAsia="en-US"/>
        </w:rPr>
      </w:pPr>
      <w:r w:rsidRPr="00437385">
        <w:rPr>
          <w:lang w:val="fr-FR" w:eastAsia="en-US"/>
        </w:rPr>
        <w:t>La période de césure n’est pas une année sabbatique ou un choix par défaut. Cette démarche demande réflexion et anticipation. L’année de césure doit respecter une réelle opportunité d’apprentissage ou de maturation de projets.</w:t>
      </w:r>
    </w:p>
    <w:p w14:paraId="25EA3723" w14:textId="77777777" w:rsidR="00437385" w:rsidRPr="00437385" w:rsidRDefault="00437385" w:rsidP="00437385">
      <w:pPr>
        <w:jc w:val="both"/>
        <w:rPr>
          <w:lang w:val="fr-FR" w:eastAsia="en-US"/>
        </w:rPr>
      </w:pPr>
      <w:r w:rsidRPr="00437385">
        <w:rPr>
          <w:lang w:val="fr-FR" w:eastAsia="en-US"/>
        </w:rPr>
        <w:t>Demander à faire une césure est une responsabilité mais non un droit. L’étudiant doit donc obligatoirement déposer une candidature auprès de sa composante d’appartenance. L’année de césure est accordée ou non par le responsable de la formation, la direction de la composante et la commission ad hoc présidée par le VP CFVU, qui jugeront de la pertinence du projet.</w:t>
      </w:r>
    </w:p>
    <w:p w14:paraId="255207B8" w14:textId="77777777" w:rsidR="00437385" w:rsidRPr="00437385" w:rsidRDefault="00437385" w:rsidP="00437385">
      <w:pPr>
        <w:jc w:val="both"/>
        <w:rPr>
          <w:lang w:val="fr-FR" w:eastAsia="en-US"/>
        </w:rPr>
      </w:pPr>
      <w:r w:rsidRPr="00437385">
        <w:rPr>
          <w:lang w:val="fr-FR" w:eastAsia="en-US"/>
        </w:rPr>
        <w:t>Si la période de césure est accordée, un contrat pédagogique est conclu entre l’établissement et le futur étudiant. Ce contrat lui garantit, à l’issue de sa période de césure, son inscription dans la formation préalablement choisie.</w:t>
      </w:r>
    </w:p>
    <w:p w14:paraId="56FED4B1" w14:textId="48F1F1B7" w:rsidR="00437385" w:rsidRPr="00437385" w:rsidRDefault="00437385" w:rsidP="00437385">
      <w:pPr>
        <w:jc w:val="both"/>
        <w:rPr>
          <w:lang w:val="fr-FR" w:eastAsia="en-US"/>
        </w:rPr>
      </w:pPr>
      <w:r w:rsidRPr="00437385">
        <w:rPr>
          <w:lang w:val="fr-FR" w:eastAsia="en-US"/>
        </w:rPr>
        <w:t>La reconnaissance de l’engagement étudiant</w:t>
      </w:r>
      <w:r>
        <w:rPr>
          <w:lang w:val="fr-FR" w:eastAsia="en-US"/>
        </w:rPr>
        <w:t> :</w:t>
      </w:r>
    </w:p>
    <w:p w14:paraId="093262A5" w14:textId="77777777" w:rsidR="00437385" w:rsidRPr="00437385" w:rsidRDefault="00437385" w:rsidP="00437385">
      <w:pPr>
        <w:jc w:val="both"/>
        <w:rPr>
          <w:lang w:val="fr-FR" w:eastAsia="en-US"/>
        </w:rPr>
      </w:pPr>
      <w:r w:rsidRPr="00437385">
        <w:rPr>
          <w:lang w:val="fr-FR" w:eastAsia="en-US"/>
        </w:rPr>
        <w:t>Elle s’adresse aux étudiants investis et engagés dans des activités bénévoles, des missions de service civique ou de volontariat, des activités militaires dans la réserve opérationnelle, des activités de sapeur-pompier volontaire ou encore des activités professionnelles.</w:t>
      </w:r>
    </w:p>
    <w:p w14:paraId="6CFF0D56" w14:textId="75AADBCE" w:rsidR="00437385" w:rsidRPr="00437385" w:rsidRDefault="00437385" w:rsidP="00437385">
      <w:pPr>
        <w:jc w:val="both"/>
        <w:rPr>
          <w:lang w:val="fr-FR" w:eastAsia="en-US"/>
        </w:rPr>
      </w:pPr>
      <w:r w:rsidRPr="00437385">
        <w:rPr>
          <w:lang w:val="fr-FR" w:eastAsia="en-US"/>
        </w:rPr>
        <w:t xml:space="preserve">La reconnaissance pédagogique de l’engagement </w:t>
      </w:r>
      <w:r w:rsidR="00D5738F">
        <w:rPr>
          <w:lang w:val="fr-FR" w:eastAsia="en-US"/>
        </w:rPr>
        <w:t>étudiant à l’Université Paris XIII</w:t>
      </w:r>
      <w:r w:rsidRPr="00437385">
        <w:rPr>
          <w:lang w:val="fr-FR" w:eastAsia="en-US"/>
        </w:rPr>
        <w:t xml:space="preserve"> </w:t>
      </w:r>
      <w:r w:rsidR="00D5738F" w:rsidRPr="00D5738F">
        <w:rPr>
          <w:lang w:val="fr-FR" w:eastAsia="en-US"/>
        </w:rPr>
        <w:t>(dénommé USPN)</w:t>
      </w:r>
      <w:r w:rsidR="00D5738F">
        <w:rPr>
          <w:lang w:val="fr-FR" w:eastAsia="en-US"/>
        </w:rPr>
        <w:t xml:space="preserve"> </w:t>
      </w:r>
      <w:r w:rsidRPr="00437385">
        <w:rPr>
          <w:lang w:val="fr-FR" w:eastAsia="en-US"/>
        </w:rPr>
        <w:t xml:space="preserve">prend la forme d’une UE libre de type facultative, valorisée par un système de </w:t>
      </w:r>
      <w:r w:rsidRPr="00437385">
        <w:rPr>
          <w:lang w:val="fr-FR" w:eastAsia="en-US"/>
        </w:rPr>
        <w:lastRenderedPageBreak/>
        <w:t>bonification dans la moyenne générale. Si elle est validée, elle est reconnue par l’inscription de 2 ECTS sur l’annexe descriptive au diplôme.</w:t>
      </w:r>
    </w:p>
    <w:p w14:paraId="67DEABE0" w14:textId="587747C4" w:rsidR="00437385" w:rsidRDefault="00437385" w:rsidP="00437385">
      <w:pPr>
        <w:jc w:val="both"/>
        <w:rPr>
          <w:lang w:val="fr-FR" w:eastAsia="en-US"/>
        </w:rPr>
      </w:pPr>
      <w:r w:rsidRPr="00437385">
        <w:rPr>
          <w:lang w:val="fr-FR" w:eastAsia="en-US"/>
        </w:rPr>
        <w:t>En addition à la possibilité de voir son engagement reconnu dans le cadre de sa formation, les étudiants exerçant des responsabilités particulières peuvent demander des aménagements dans l’organisation de leur emploi du temps afin de concilier leurs activités avec leurs études.</w:t>
      </w:r>
    </w:p>
    <w:p w14:paraId="730908AF" w14:textId="3C9F23A6" w:rsidR="00082321" w:rsidRDefault="00082321" w:rsidP="00437385">
      <w:pPr>
        <w:jc w:val="both"/>
        <w:rPr>
          <w:lang w:val="fr-FR" w:eastAsia="en-US"/>
        </w:rPr>
      </w:pPr>
    </w:p>
    <w:p w14:paraId="40277DBB" w14:textId="460F5463" w:rsidR="00082321" w:rsidRDefault="00082321" w:rsidP="00437385">
      <w:pPr>
        <w:jc w:val="both"/>
        <w:rPr>
          <w:lang w:val="fr-FR" w:eastAsia="en-US"/>
        </w:rPr>
      </w:pPr>
    </w:p>
    <w:p w14:paraId="5052444C" w14:textId="77777777" w:rsidR="006D4B1F" w:rsidRDefault="006D4B1F" w:rsidP="00437385">
      <w:pPr>
        <w:jc w:val="both"/>
        <w:rPr>
          <w:lang w:val="fr-FR" w:eastAsia="en-US"/>
        </w:rPr>
      </w:pPr>
    </w:p>
    <w:p w14:paraId="154CB460" w14:textId="77777777" w:rsidR="006D4B1F" w:rsidRDefault="006D4B1F" w:rsidP="00437385">
      <w:pPr>
        <w:jc w:val="both"/>
        <w:rPr>
          <w:lang w:val="fr-FR" w:eastAsia="en-US"/>
        </w:rPr>
      </w:pPr>
    </w:p>
    <w:p w14:paraId="1EFC6440" w14:textId="77777777" w:rsidR="006D4B1F" w:rsidRDefault="006D4B1F" w:rsidP="00437385">
      <w:pPr>
        <w:jc w:val="both"/>
        <w:rPr>
          <w:lang w:val="fr-FR" w:eastAsia="en-US"/>
        </w:rPr>
      </w:pPr>
    </w:p>
    <w:p w14:paraId="08728947" w14:textId="77777777" w:rsidR="006D4B1F" w:rsidRDefault="006D4B1F" w:rsidP="00437385">
      <w:pPr>
        <w:jc w:val="both"/>
        <w:rPr>
          <w:lang w:val="fr-FR" w:eastAsia="en-US"/>
        </w:rPr>
      </w:pPr>
    </w:p>
    <w:p w14:paraId="53C77B21" w14:textId="77777777" w:rsidR="006D4B1F" w:rsidRDefault="006D4B1F" w:rsidP="00437385">
      <w:pPr>
        <w:jc w:val="both"/>
        <w:rPr>
          <w:lang w:val="fr-FR" w:eastAsia="en-US"/>
        </w:rPr>
      </w:pPr>
    </w:p>
    <w:p w14:paraId="6B55B918" w14:textId="77777777" w:rsidR="006D4B1F" w:rsidRDefault="006D4B1F" w:rsidP="00437385">
      <w:pPr>
        <w:jc w:val="both"/>
        <w:rPr>
          <w:lang w:val="fr-FR" w:eastAsia="en-US"/>
        </w:rPr>
      </w:pPr>
    </w:p>
    <w:p w14:paraId="7A8B8C6E" w14:textId="77777777" w:rsidR="006D4B1F" w:rsidRDefault="006D4B1F" w:rsidP="00437385">
      <w:pPr>
        <w:jc w:val="both"/>
        <w:rPr>
          <w:lang w:val="fr-FR" w:eastAsia="en-US"/>
        </w:rPr>
      </w:pPr>
    </w:p>
    <w:p w14:paraId="074EF2BC" w14:textId="77777777" w:rsidR="006D4B1F" w:rsidRDefault="006D4B1F" w:rsidP="00437385">
      <w:pPr>
        <w:jc w:val="both"/>
        <w:rPr>
          <w:lang w:val="fr-FR" w:eastAsia="en-US"/>
        </w:rPr>
      </w:pPr>
    </w:p>
    <w:p w14:paraId="1EB217DF" w14:textId="77777777" w:rsidR="006D4B1F" w:rsidRDefault="006D4B1F" w:rsidP="00437385">
      <w:pPr>
        <w:jc w:val="both"/>
        <w:rPr>
          <w:lang w:val="fr-FR" w:eastAsia="en-US"/>
        </w:rPr>
      </w:pPr>
    </w:p>
    <w:p w14:paraId="1190BD2C" w14:textId="77777777" w:rsidR="006D4B1F" w:rsidRDefault="006D4B1F" w:rsidP="00437385">
      <w:pPr>
        <w:jc w:val="both"/>
        <w:rPr>
          <w:lang w:val="fr-FR" w:eastAsia="en-US"/>
        </w:rPr>
      </w:pPr>
    </w:p>
    <w:p w14:paraId="76E62ABE" w14:textId="77777777" w:rsidR="006D4B1F" w:rsidRDefault="006D4B1F" w:rsidP="00437385">
      <w:pPr>
        <w:jc w:val="both"/>
        <w:rPr>
          <w:lang w:val="fr-FR" w:eastAsia="en-US"/>
        </w:rPr>
      </w:pPr>
    </w:p>
    <w:p w14:paraId="3FAFE7FD" w14:textId="77777777" w:rsidR="006D4B1F" w:rsidRDefault="006D4B1F" w:rsidP="00437385">
      <w:pPr>
        <w:jc w:val="both"/>
        <w:rPr>
          <w:lang w:val="fr-FR" w:eastAsia="en-US"/>
        </w:rPr>
      </w:pPr>
    </w:p>
    <w:p w14:paraId="3D3F4CE8" w14:textId="77777777" w:rsidR="006D4B1F" w:rsidRDefault="006D4B1F" w:rsidP="00437385">
      <w:pPr>
        <w:jc w:val="both"/>
        <w:rPr>
          <w:lang w:val="fr-FR" w:eastAsia="en-US"/>
        </w:rPr>
      </w:pPr>
    </w:p>
    <w:p w14:paraId="1016E62A" w14:textId="77777777" w:rsidR="006D4B1F" w:rsidRDefault="006D4B1F" w:rsidP="00437385">
      <w:pPr>
        <w:jc w:val="both"/>
        <w:rPr>
          <w:lang w:val="fr-FR" w:eastAsia="en-US"/>
        </w:rPr>
      </w:pPr>
    </w:p>
    <w:p w14:paraId="6812C861" w14:textId="77777777" w:rsidR="006D4B1F" w:rsidRDefault="006D4B1F" w:rsidP="00437385">
      <w:pPr>
        <w:jc w:val="both"/>
        <w:rPr>
          <w:lang w:val="fr-FR" w:eastAsia="en-US"/>
        </w:rPr>
      </w:pPr>
    </w:p>
    <w:p w14:paraId="534976D9" w14:textId="77777777" w:rsidR="006D4B1F" w:rsidRDefault="006D4B1F" w:rsidP="00437385">
      <w:pPr>
        <w:jc w:val="both"/>
        <w:rPr>
          <w:lang w:val="fr-FR" w:eastAsia="en-US"/>
        </w:rPr>
      </w:pPr>
    </w:p>
    <w:p w14:paraId="623BDA53" w14:textId="77777777" w:rsidR="006D4B1F" w:rsidRDefault="006D4B1F" w:rsidP="00437385">
      <w:pPr>
        <w:jc w:val="both"/>
        <w:rPr>
          <w:lang w:val="fr-FR" w:eastAsia="en-US"/>
        </w:rPr>
      </w:pPr>
    </w:p>
    <w:p w14:paraId="2FE59A5F" w14:textId="77777777" w:rsidR="006D4B1F" w:rsidRDefault="006D4B1F" w:rsidP="00437385">
      <w:pPr>
        <w:jc w:val="both"/>
        <w:rPr>
          <w:lang w:val="fr-FR" w:eastAsia="en-US"/>
        </w:rPr>
      </w:pPr>
    </w:p>
    <w:p w14:paraId="7B334D20" w14:textId="77777777" w:rsidR="006D4B1F" w:rsidRDefault="006D4B1F" w:rsidP="00437385">
      <w:pPr>
        <w:jc w:val="both"/>
        <w:rPr>
          <w:lang w:val="fr-FR" w:eastAsia="en-US"/>
        </w:rPr>
      </w:pPr>
    </w:p>
    <w:p w14:paraId="224A91C0" w14:textId="77777777" w:rsidR="006D4B1F" w:rsidRDefault="006D4B1F" w:rsidP="00437385">
      <w:pPr>
        <w:jc w:val="both"/>
        <w:rPr>
          <w:lang w:val="fr-FR" w:eastAsia="en-US"/>
        </w:rPr>
      </w:pPr>
    </w:p>
    <w:p w14:paraId="498D128D" w14:textId="77777777" w:rsidR="006D4B1F" w:rsidRDefault="006D4B1F" w:rsidP="00437385">
      <w:pPr>
        <w:jc w:val="both"/>
        <w:rPr>
          <w:lang w:val="fr-FR" w:eastAsia="en-US"/>
        </w:rPr>
      </w:pPr>
    </w:p>
    <w:p w14:paraId="588AE7E5" w14:textId="77777777" w:rsidR="006D4B1F" w:rsidRDefault="006D4B1F" w:rsidP="00437385">
      <w:pPr>
        <w:jc w:val="both"/>
        <w:rPr>
          <w:lang w:val="fr-FR" w:eastAsia="en-US"/>
        </w:rPr>
      </w:pPr>
    </w:p>
    <w:p w14:paraId="65B44802" w14:textId="77777777" w:rsidR="006D4B1F" w:rsidRDefault="006D4B1F" w:rsidP="00437385">
      <w:pPr>
        <w:jc w:val="both"/>
        <w:rPr>
          <w:lang w:val="fr-FR" w:eastAsia="en-US"/>
        </w:rPr>
      </w:pPr>
    </w:p>
    <w:p w14:paraId="6DE91EDC" w14:textId="77777777" w:rsidR="00AC6053" w:rsidRDefault="006D4B1F" w:rsidP="006D4B1F">
      <w:pPr>
        <w:jc w:val="center"/>
        <w:rPr>
          <w:b/>
          <w:u w:val="single"/>
          <w:lang w:val="fr-FR" w:eastAsia="en-US"/>
        </w:rPr>
      </w:pPr>
      <w:r w:rsidRPr="006D4B1F">
        <w:rPr>
          <w:b/>
          <w:u w:val="single"/>
          <w:lang w:val="fr-FR" w:eastAsia="en-US"/>
        </w:rPr>
        <w:lastRenderedPageBreak/>
        <w:t>Annexe - Tableurs</w:t>
      </w:r>
      <w:r w:rsidR="00082321" w:rsidRPr="006D4B1F">
        <w:rPr>
          <w:b/>
          <w:u w:val="single"/>
          <w:lang w:val="fr-FR" w:eastAsia="en-US"/>
        </w:rPr>
        <w:t xml:space="preserve"> MCCC 23-24_</w:t>
      </w:r>
    </w:p>
    <w:p w14:paraId="5525318E" w14:textId="7145EDDF" w:rsidR="00082321" w:rsidRPr="006D4B1F" w:rsidRDefault="00AC6053" w:rsidP="006D4B1F">
      <w:pPr>
        <w:jc w:val="center"/>
        <w:rPr>
          <w:b/>
          <w:u w:val="single"/>
          <w:lang w:val="fr-FR" w:eastAsia="en-US"/>
        </w:rPr>
      </w:pPr>
      <w:r>
        <w:rPr>
          <w:b/>
          <w:u w:val="single"/>
          <w:lang w:val="fr-FR" w:eastAsia="en-US"/>
        </w:rPr>
        <w:t>Département Réseaux et Télécommunications (</w:t>
      </w:r>
      <w:r w:rsidR="00082321" w:rsidRPr="006D4B1F">
        <w:rPr>
          <w:b/>
          <w:u w:val="single"/>
          <w:lang w:val="fr-FR" w:eastAsia="en-US"/>
        </w:rPr>
        <w:t>R</w:t>
      </w:r>
      <w:r>
        <w:rPr>
          <w:b/>
          <w:u w:val="single"/>
          <w:lang w:val="fr-FR" w:eastAsia="en-US"/>
        </w:rPr>
        <w:t>&amp;</w:t>
      </w:r>
      <w:r w:rsidR="00082321" w:rsidRPr="006D4B1F">
        <w:rPr>
          <w:b/>
          <w:u w:val="single"/>
          <w:lang w:val="fr-FR" w:eastAsia="en-US"/>
        </w:rPr>
        <w:t>T</w:t>
      </w:r>
      <w:r>
        <w:rPr>
          <w:b/>
          <w:u w:val="single"/>
          <w:lang w:val="fr-FR" w:eastAsia="en-US"/>
        </w:rPr>
        <w:t>)</w:t>
      </w:r>
    </w:p>
    <w:p w14:paraId="25F619AD" w14:textId="7045DCB4" w:rsidR="00437385" w:rsidRDefault="00082321" w:rsidP="00AC6053">
      <w:pPr>
        <w:jc w:val="center"/>
        <w:rPr>
          <w:b/>
          <w:color w:val="1F497D" w:themeColor="text2"/>
          <w:lang w:val="fr-FR" w:eastAsia="en-US"/>
        </w:rPr>
      </w:pPr>
      <w:r w:rsidRPr="00082321">
        <w:rPr>
          <w:noProof/>
          <w:lang w:val="fr-FR" w:eastAsia="fr-FR"/>
        </w:rPr>
        <w:drawing>
          <wp:inline distT="0" distB="0" distL="0" distR="0" wp14:anchorId="35724A42" wp14:editId="329D732F">
            <wp:extent cx="5148910" cy="8362411"/>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4267" cy="8387352"/>
                    </a:xfrm>
                    <a:prstGeom prst="rect">
                      <a:avLst/>
                    </a:prstGeom>
                    <a:noFill/>
                    <a:ln>
                      <a:noFill/>
                    </a:ln>
                  </pic:spPr>
                </pic:pic>
              </a:graphicData>
            </a:graphic>
          </wp:inline>
        </w:drawing>
      </w:r>
    </w:p>
    <w:p w14:paraId="4330D81B" w14:textId="48B4BACC" w:rsidR="00082321" w:rsidRDefault="00082321" w:rsidP="00437385">
      <w:pPr>
        <w:jc w:val="both"/>
        <w:rPr>
          <w:b/>
          <w:color w:val="1F497D" w:themeColor="text2"/>
          <w:lang w:val="fr-FR" w:eastAsia="en-US"/>
        </w:rPr>
      </w:pPr>
      <w:r w:rsidRPr="00082321">
        <w:rPr>
          <w:noProof/>
          <w:lang w:val="fr-FR" w:eastAsia="fr-FR"/>
        </w:rPr>
        <w:lastRenderedPageBreak/>
        <w:drawing>
          <wp:inline distT="0" distB="0" distL="0" distR="0" wp14:anchorId="2265A324" wp14:editId="0CF90801">
            <wp:extent cx="6120765" cy="94908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9490805"/>
                    </a:xfrm>
                    <a:prstGeom prst="rect">
                      <a:avLst/>
                    </a:prstGeom>
                    <a:noFill/>
                    <a:ln>
                      <a:noFill/>
                    </a:ln>
                  </pic:spPr>
                </pic:pic>
              </a:graphicData>
            </a:graphic>
          </wp:inline>
        </w:drawing>
      </w:r>
    </w:p>
    <w:p w14:paraId="586EF2EF" w14:textId="20068682" w:rsidR="00082321" w:rsidRDefault="00082321" w:rsidP="00437385">
      <w:pPr>
        <w:jc w:val="both"/>
        <w:rPr>
          <w:b/>
          <w:color w:val="1F497D" w:themeColor="text2"/>
          <w:lang w:val="fr-FR" w:eastAsia="en-US"/>
        </w:rPr>
      </w:pPr>
      <w:r w:rsidRPr="00082321">
        <w:rPr>
          <w:noProof/>
          <w:lang w:val="fr-FR" w:eastAsia="fr-FR"/>
        </w:rPr>
        <w:lastRenderedPageBreak/>
        <w:drawing>
          <wp:inline distT="0" distB="0" distL="0" distR="0" wp14:anchorId="3CFC4EAA" wp14:editId="2F20FFEA">
            <wp:extent cx="6120765" cy="94908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9490805"/>
                    </a:xfrm>
                    <a:prstGeom prst="rect">
                      <a:avLst/>
                    </a:prstGeom>
                    <a:noFill/>
                    <a:ln>
                      <a:noFill/>
                    </a:ln>
                  </pic:spPr>
                </pic:pic>
              </a:graphicData>
            </a:graphic>
          </wp:inline>
        </w:drawing>
      </w:r>
    </w:p>
    <w:p w14:paraId="3562DC2E" w14:textId="430A6A00" w:rsidR="00082321" w:rsidRDefault="00082321" w:rsidP="00437385">
      <w:pPr>
        <w:jc w:val="both"/>
        <w:rPr>
          <w:b/>
          <w:color w:val="1F497D" w:themeColor="text2"/>
          <w:lang w:val="fr-FR" w:eastAsia="en-US"/>
        </w:rPr>
      </w:pPr>
      <w:r w:rsidRPr="00082321">
        <w:rPr>
          <w:noProof/>
          <w:lang w:val="fr-FR" w:eastAsia="fr-FR"/>
        </w:rPr>
        <w:lastRenderedPageBreak/>
        <w:drawing>
          <wp:inline distT="0" distB="0" distL="0" distR="0" wp14:anchorId="3872316B" wp14:editId="7A26F177">
            <wp:extent cx="6120765" cy="855732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8557329"/>
                    </a:xfrm>
                    <a:prstGeom prst="rect">
                      <a:avLst/>
                    </a:prstGeom>
                    <a:noFill/>
                    <a:ln>
                      <a:noFill/>
                    </a:ln>
                  </pic:spPr>
                </pic:pic>
              </a:graphicData>
            </a:graphic>
          </wp:inline>
        </w:drawing>
      </w:r>
    </w:p>
    <w:p w14:paraId="019160F0" w14:textId="452828E3" w:rsidR="00082321" w:rsidRDefault="00082321" w:rsidP="00437385">
      <w:pPr>
        <w:jc w:val="both"/>
        <w:rPr>
          <w:b/>
          <w:color w:val="1F497D" w:themeColor="text2"/>
          <w:lang w:val="fr-FR" w:eastAsia="en-US"/>
        </w:rPr>
      </w:pPr>
    </w:p>
    <w:p w14:paraId="30B56AA7" w14:textId="60D53C81" w:rsidR="00082321" w:rsidRDefault="00082321" w:rsidP="00437385">
      <w:pPr>
        <w:jc w:val="both"/>
        <w:rPr>
          <w:b/>
          <w:color w:val="1F497D" w:themeColor="text2"/>
          <w:lang w:val="fr-FR" w:eastAsia="en-US"/>
        </w:rPr>
      </w:pPr>
      <w:r w:rsidRPr="00082321">
        <w:rPr>
          <w:noProof/>
          <w:lang w:val="fr-FR" w:eastAsia="fr-FR"/>
        </w:rPr>
        <w:lastRenderedPageBreak/>
        <w:drawing>
          <wp:inline distT="0" distB="0" distL="0" distR="0" wp14:anchorId="63173804" wp14:editId="3C8447B8">
            <wp:extent cx="6120765" cy="7157028"/>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7157028"/>
                    </a:xfrm>
                    <a:prstGeom prst="rect">
                      <a:avLst/>
                    </a:prstGeom>
                    <a:noFill/>
                    <a:ln>
                      <a:noFill/>
                    </a:ln>
                  </pic:spPr>
                </pic:pic>
              </a:graphicData>
            </a:graphic>
          </wp:inline>
        </w:drawing>
      </w:r>
    </w:p>
    <w:p w14:paraId="21C701C8" w14:textId="6A9C1BC9" w:rsidR="00082321" w:rsidRDefault="00082321" w:rsidP="00437385">
      <w:pPr>
        <w:jc w:val="both"/>
        <w:rPr>
          <w:b/>
          <w:color w:val="1F497D" w:themeColor="text2"/>
          <w:lang w:val="fr-FR" w:eastAsia="en-US"/>
        </w:rPr>
      </w:pPr>
    </w:p>
    <w:p w14:paraId="01E2EED3" w14:textId="79F0D157" w:rsidR="00082321" w:rsidRDefault="00082321" w:rsidP="00437385">
      <w:pPr>
        <w:jc w:val="both"/>
        <w:rPr>
          <w:b/>
          <w:color w:val="1F497D" w:themeColor="text2"/>
          <w:lang w:val="fr-FR" w:eastAsia="en-US"/>
        </w:rPr>
      </w:pPr>
    </w:p>
    <w:p w14:paraId="269BFBC2" w14:textId="49160357" w:rsidR="00082321" w:rsidRDefault="00082321" w:rsidP="00437385">
      <w:pPr>
        <w:jc w:val="both"/>
        <w:rPr>
          <w:b/>
          <w:color w:val="1F497D" w:themeColor="text2"/>
          <w:lang w:val="fr-FR" w:eastAsia="en-US"/>
        </w:rPr>
      </w:pPr>
    </w:p>
    <w:p w14:paraId="6C8AED7B" w14:textId="28C56F76" w:rsidR="00082321" w:rsidRDefault="00082321" w:rsidP="00437385">
      <w:pPr>
        <w:jc w:val="both"/>
        <w:rPr>
          <w:b/>
          <w:color w:val="1F497D" w:themeColor="text2"/>
          <w:lang w:val="fr-FR" w:eastAsia="en-US"/>
        </w:rPr>
      </w:pPr>
    </w:p>
    <w:p w14:paraId="3951CB5F" w14:textId="11F3DC9F" w:rsidR="00082321" w:rsidRDefault="00082321" w:rsidP="00437385">
      <w:pPr>
        <w:jc w:val="both"/>
        <w:rPr>
          <w:b/>
          <w:color w:val="1F497D" w:themeColor="text2"/>
          <w:lang w:val="fr-FR" w:eastAsia="en-US"/>
        </w:rPr>
      </w:pPr>
    </w:p>
    <w:p w14:paraId="536382D2" w14:textId="2B9EA1EF" w:rsidR="00082321" w:rsidRDefault="00082321" w:rsidP="00437385">
      <w:pPr>
        <w:jc w:val="both"/>
        <w:rPr>
          <w:b/>
          <w:color w:val="1F497D" w:themeColor="text2"/>
          <w:lang w:val="fr-FR" w:eastAsia="en-US"/>
        </w:rPr>
      </w:pPr>
    </w:p>
    <w:p w14:paraId="7FB71A06" w14:textId="2E6E4DF8" w:rsidR="00082321" w:rsidRDefault="00082321" w:rsidP="00437385">
      <w:pPr>
        <w:jc w:val="both"/>
        <w:rPr>
          <w:b/>
          <w:color w:val="1F497D" w:themeColor="text2"/>
          <w:lang w:val="fr-FR" w:eastAsia="en-US"/>
        </w:rPr>
      </w:pPr>
    </w:p>
    <w:p w14:paraId="58B1EB40" w14:textId="36B7C08A" w:rsidR="00082321" w:rsidRDefault="00082321" w:rsidP="00437385">
      <w:pPr>
        <w:jc w:val="both"/>
        <w:rPr>
          <w:b/>
          <w:color w:val="1F497D" w:themeColor="text2"/>
          <w:lang w:val="fr-FR" w:eastAsia="en-US"/>
        </w:rPr>
      </w:pPr>
      <w:r w:rsidRPr="00082321">
        <w:rPr>
          <w:noProof/>
          <w:lang w:val="fr-FR" w:eastAsia="fr-FR"/>
        </w:rPr>
        <w:drawing>
          <wp:inline distT="0" distB="0" distL="0" distR="0" wp14:anchorId="197B929E" wp14:editId="6C05B454">
            <wp:extent cx="6120765" cy="7157028"/>
            <wp:effectExtent l="0" t="0" r="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7157028"/>
                    </a:xfrm>
                    <a:prstGeom prst="rect">
                      <a:avLst/>
                    </a:prstGeom>
                    <a:noFill/>
                    <a:ln>
                      <a:noFill/>
                    </a:ln>
                  </pic:spPr>
                </pic:pic>
              </a:graphicData>
            </a:graphic>
          </wp:inline>
        </w:drawing>
      </w:r>
    </w:p>
    <w:p w14:paraId="19B7F955" w14:textId="77777777" w:rsidR="00082321" w:rsidRDefault="00082321" w:rsidP="00437385">
      <w:pPr>
        <w:jc w:val="both"/>
        <w:rPr>
          <w:b/>
          <w:color w:val="1F497D" w:themeColor="text2"/>
          <w:lang w:val="fr-FR" w:eastAsia="en-US"/>
        </w:rPr>
      </w:pPr>
    </w:p>
    <w:p w14:paraId="36C0EDF5" w14:textId="39C01FA2" w:rsidR="00082321" w:rsidRDefault="00082321" w:rsidP="00437385">
      <w:pPr>
        <w:jc w:val="both"/>
        <w:rPr>
          <w:b/>
          <w:color w:val="1F497D" w:themeColor="text2"/>
          <w:lang w:val="fr-FR" w:eastAsia="en-US"/>
        </w:rPr>
      </w:pPr>
    </w:p>
    <w:p w14:paraId="1689F7BB" w14:textId="0D0256A6" w:rsidR="00082321" w:rsidRDefault="00082321" w:rsidP="00437385">
      <w:pPr>
        <w:jc w:val="both"/>
        <w:rPr>
          <w:b/>
          <w:color w:val="1F497D" w:themeColor="text2"/>
          <w:lang w:val="fr-FR" w:eastAsia="en-US"/>
        </w:rPr>
      </w:pPr>
    </w:p>
    <w:p w14:paraId="450011D4" w14:textId="75E7CB83" w:rsidR="00082321" w:rsidRPr="00BE16FE" w:rsidRDefault="00082321" w:rsidP="00437385">
      <w:pPr>
        <w:jc w:val="both"/>
        <w:rPr>
          <w:b/>
          <w:color w:val="1F497D" w:themeColor="text2"/>
          <w:lang w:val="fr-FR" w:eastAsia="en-US"/>
        </w:rPr>
      </w:pPr>
    </w:p>
    <w:sectPr w:rsidR="00082321" w:rsidRPr="00BE16FE" w:rsidSect="009B7EFF">
      <w:headerReference w:type="even" r:id="rId14"/>
      <w:headerReference w:type="default" r:id="rId15"/>
      <w:footerReference w:type="even" r:id="rId16"/>
      <w:footerReference w:type="default" r:id="rId17"/>
      <w:pgSz w:w="11900" w:h="16840"/>
      <w:pgMar w:top="1078" w:right="1127" w:bottom="426" w:left="1134" w:header="0" w:footer="9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251A3" w14:textId="77777777" w:rsidR="000902D1" w:rsidRDefault="000902D1" w:rsidP="00935206">
      <w:pPr>
        <w:spacing w:after="0"/>
      </w:pPr>
      <w:r>
        <w:separator/>
      </w:r>
    </w:p>
  </w:endnote>
  <w:endnote w:type="continuationSeparator" w:id="0">
    <w:p w14:paraId="7BEC6567" w14:textId="77777777" w:rsidR="000902D1" w:rsidRDefault="000902D1" w:rsidP="009352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CFE4A" w14:textId="7CB5A51D" w:rsidR="009B7EFF" w:rsidRDefault="009B7EFF">
    <w:pPr>
      <w:pStyle w:val="Pieddepage"/>
    </w:pPr>
    <w:r w:rsidRPr="001C1B99">
      <w:rPr>
        <w:noProof/>
        <w:lang w:val="fr-FR" w:eastAsia="fr-FR"/>
      </w:rPr>
      <w:drawing>
        <wp:inline distT="0" distB="0" distL="0" distR="0" wp14:anchorId="5F8C4CE2" wp14:editId="03EB3FD8">
          <wp:extent cx="6120765" cy="542925"/>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429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F9B84" w14:textId="1DB8512E" w:rsidR="009B7EFF" w:rsidRDefault="009B7EFF">
    <w:pPr>
      <w:pStyle w:val="Pieddepage"/>
    </w:pPr>
    <w:r w:rsidRPr="001C1B99">
      <w:rPr>
        <w:noProof/>
        <w:lang w:val="fr-FR" w:eastAsia="fr-FR"/>
      </w:rPr>
      <w:drawing>
        <wp:inline distT="0" distB="0" distL="0" distR="0" wp14:anchorId="430F1260" wp14:editId="1031112D">
          <wp:extent cx="6324600" cy="542925"/>
          <wp:effectExtent l="0" t="0" r="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0" cy="542925"/>
                  </a:xfrm>
                  <a:prstGeom prst="rect">
                    <a:avLst/>
                  </a:prstGeom>
                  <a:noFill/>
                  <a:ln>
                    <a:noFill/>
                  </a:ln>
                </pic:spPr>
              </pic:pic>
            </a:graphicData>
          </a:graphic>
        </wp:inline>
      </w:drawing>
    </w:r>
  </w:p>
  <w:p w14:paraId="355B3D51" w14:textId="2A5DB4DB" w:rsidR="00935206" w:rsidRDefault="00935206" w:rsidP="009E0337">
    <w:pPr>
      <w:pStyle w:val="Pieddepage"/>
      <w:ind w:left="-113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AECF1" w14:textId="77777777" w:rsidR="000902D1" w:rsidRDefault="000902D1" w:rsidP="00935206">
      <w:pPr>
        <w:spacing w:after="0"/>
      </w:pPr>
      <w:r>
        <w:separator/>
      </w:r>
    </w:p>
  </w:footnote>
  <w:footnote w:type="continuationSeparator" w:id="0">
    <w:p w14:paraId="0F3E2F50" w14:textId="77777777" w:rsidR="000902D1" w:rsidRDefault="000902D1" w:rsidP="0093520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65941" w14:textId="34ED1C83" w:rsidR="00B46DC5" w:rsidRDefault="009B7EFF">
    <w:pPr>
      <w:pStyle w:val="En-tte"/>
    </w:pPr>
    <w:r w:rsidRPr="001C1B99">
      <w:rPr>
        <w:noProof/>
        <w:lang w:val="fr-FR" w:eastAsia="fr-FR"/>
      </w:rPr>
      <w:drawing>
        <wp:inline distT="0" distB="0" distL="0" distR="0" wp14:anchorId="076BAD80" wp14:editId="0D396665">
          <wp:extent cx="6120765" cy="9366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936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6E4C" w14:textId="6708CB51" w:rsidR="00935206" w:rsidRDefault="009B7EFF" w:rsidP="009E0337">
    <w:pPr>
      <w:pStyle w:val="En-tte"/>
      <w:ind w:left="-1134" w:right="-418"/>
    </w:pPr>
    <w:r w:rsidRPr="001C1B99">
      <w:rPr>
        <w:noProof/>
        <w:lang w:val="fr-FR" w:eastAsia="fr-FR"/>
      </w:rPr>
      <w:drawing>
        <wp:inline distT="0" distB="0" distL="0" distR="0" wp14:anchorId="576CBF43" wp14:editId="537B1BFA">
          <wp:extent cx="6120765" cy="93662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936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C9A"/>
    <w:multiLevelType w:val="hybridMultilevel"/>
    <w:tmpl w:val="7DD8660A"/>
    <w:lvl w:ilvl="0" w:tplc="DAA2271A">
      <w:start w:val="1"/>
      <w:numFmt w:val="bullet"/>
      <w:lvlText w:val=""/>
      <w:lvlJc w:val="left"/>
      <w:pPr>
        <w:ind w:left="360" w:hanging="360"/>
      </w:pPr>
      <w:rPr>
        <w:rFonts w:ascii="Wingdings" w:hAnsi="Wingdings" w:hint="default"/>
        <w:color w:val="31849B" w:themeColor="accent5" w:themeShade="BF"/>
        <w:sz w:val="20"/>
        <w:u w:color="31849B" w:themeColor="accent5"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0CB77EF"/>
    <w:multiLevelType w:val="hybridMultilevel"/>
    <w:tmpl w:val="EADCA8E0"/>
    <w:lvl w:ilvl="0" w:tplc="040C000F">
      <w:start w:val="1"/>
      <w:numFmt w:val="decimal"/>
      <w:lvlText w:val="%1."/>
      <w:lvlJc w:val="left"/>
      <w:pPr>
        <w:ind w:left="360" w:hanging="360"/>
      </w:pPr>
      <w:rPr>
        <w:rFonts w:hint="default"/>
      </w:rPr>
    </w:lvl>
    <w:lvl w:ilvl="1" w:tplc="8D8CCEE0">
      <w:start w:val="1"/>
      <w:numFmt w:val="bullet"/>
      <w:lvlText w:val=""/>
      <w:lvlJc w:val="left"/>
      <w:pPr>
        <w:ind w:left="1080" w:hanging="360"/>
      </w:pPr>
      <w:rPr>
        <w:rFonts w:ascii="Wingdings" w:hAnsi="Wingdings" w:hint="default"/>
        <w:color w:val="1F497D" w:themeColor="text2"/>
        <w:sz w:val="24"/>
        <w:u w:color="1F497D" w:themeColor="text2"/>
      </w:rPr>
    </w:lvl>
    <w:lvl w:ilvl="2" w:tplc="040C000F">
      <w:start w:val="1"/>
      <w:numFmt w:val="decimal"/>
      <w:lvlText w:val="%3."/>
      <w:lvlJc w:val="left"/>
      <w:pPr>
        <w:ind w:left="2325" w:hanging="705"/>
      </w:pPr>
      <w:rPr>
        <w:rFonts w:hint="default"/>
      </w:rPr>
    </w:lvl>
    <w:lvl w:ilvl="3" w:tplc="040C000F">
      <w:start w:val="1"/>
      <w:numFmt w:val="decimal"/>
      <w:lvlText w:val="%4."/>
      <w:lvlJc w:val="left"/>
      <w:pPr>
        <w:ind w:left="2520" w:hanging="360"/>
      </w:pPr>
    </w:lvl>
    <w:lvl w:ilvl="4" w:tplc="040C0001">
      <w:start w:val="1"/>
      <w:numFmt w:val="bullet"/>
      <w:lvlText w:val=""/>
      <w:lvlJc w:val="left"/>
      <w:pPr>
        <w:ind w:left="3240" w:hanging="360"/>
      </w:pPr>
      <w:rPr>
        <w:rFonts w:ascii="Symbol" w:hAnsi="Symbol" w:hint="default"/>
      </w:r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BEB3CD6"/>
    <w:multiLevelType w:val="hybridMultilevel"/>
    <w:tmpl w:val="F4785FE0"/>
    <w:lvl w:ilvl="0" w:tplc="90B2A43A">
      <w:start w:val="1"/>
      <w:numFmt w:val="bullet"/>
      <w:lvlText w:val="*"/>
      <w:lvlJc w:val="left"/>
      <w:pPr>
        <w:ind w:left="1353" w:hanging="360"/>
      </w:pPr>
      <w:rPr>
        <w:rFonts w:ascii="SimSun-ExtB" w:eastAsia="SimSun-ExtB" w:hAnsi="SimSun-ExtB" w:hint="eastAsia"/>
        <w:color w:val="1F497D" w:themeColor="text2"/>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15:restartNumberingAfterBreak="0">
    <w:nsid w:val="216F46D0"/>
    <w:multiLevelType w:val="hybridMultilevel"/>
    <w:tmpl w:val="4066EC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D40020"/>
    <w:multiLevelType w:val="hybridMultilevel"/>
    <w:tmpl w:val="F4D43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F07C2D"/>
    <w:multiLevelType w:val="hybridMultilevel"/>
    <w:tmpl w:val="1EF621D2"/>
    <w:styleLink w:val="Puce"/>
    <w:lvl w:ilvl="0" w:tplc="E95C00D0">
      <w:start w:val="1"/>
      <w:numFmt w:val="bullet"/>
      <w:lvlText w:val="•"/>
      <w:lvlJc w:val="left"/>
      <w:pPr>
        <w:ind w:left="1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F8BF56">
      <w:start w:val="1"/>
      <w:numFmt w:val="bullet"/>
      <w:lvlText w:val="•"/>
      <w:lvlJc w:val="left"/>
      <w:pPr>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481EA">
      <w:start w:val="1"/>
      <w:numFmt w:val="bullet"/>
      <w:lvlText w:val="•"/>
      <w:lvlJc w:val="left"/>
      <w:pPr>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18A6B2">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7A077C">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A2629E">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68CB80">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3AF438">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2C321C">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7A625E3"/>
    <w:multiLevelType w:val="hybridMultilevel"/>
    <w:tmpl w:val="C35A085A"/>
    <w:lvl w:ilvl="0" w:tplc="E5AC9BE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6B26EE8"/>
    <w:multiLevelType w:val="hybridMultilevel"/>
    <w:tmpl w:val="352671CA"/>
    <w:lvl w:ilvl="0" w:tplc="DAA2271A">
      <w:start w:val="1"/>
      <w:numFmt w:val="bullet"/>
      <w:lvlText w:val=""/>
      <w:lvlJc w:val="left"/>
      <w:pPr>
        <w:ind w:left="644" w:hanging="360"/>
      </w:pPr>
      <w:rPr>
        <w:rFonts w:ascii="Wingdings" w:hAnsi="Wingdings" w:hint="default"/>
        <w:color w:val="31849B" w:themeColor="accent5" w:themeShade="BF"/>
        <w:sz w:val="20"/>
        <w:u w:color="31849B" w:themeColor="accent5" w:themeShade="BF"/>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53BE634B"/>
    <w:multiLevelType w:val="hybridMultilevel"/>
    <w:tmpl w:val="9702A420"/>
    <w:lvl w:ilvl="0" w:tplc="D2C677F0">
      <w:numFmt w:val="bullet"/>
      <w:lvlText w:val="•"/>
      <w:lvlJc w:val="left"/>
      <w:pPr>
        <w:ind w:left="1065" w:hanging="705"/>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272B84"/>
    <w:multiLevelType w:val="hybridMultilevel"/>
    <w:tmpl w:val="23CCB302"/>
    <w:lvl w:ilvl="0" w:tplc="DAA2271A">
      <w:start w:val="1"/>
      <w:numFmt w:val="bullet"/>
      <w:lvlText w:val=""/>
      <w:lvlJc w:val="left"/>
      <w:pPr>
        <w:ind w:left="720" w:hanging="360"/>
      </w:pPr>
      <w:rPr>
        <w:rFonts w:ascii="Wingdings" w:hAnsi="Wingdings" w:hint="default"/>
        <w:color w:val="31849B" w:themeColor="accent5" w:themeShade="BF"/>
        <w:sz w:val="20"/>
        <w:u w:color="31849B"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7D109F"/>
    <w:multiLevelType w:val="hybridMultilevel"/>
    <w:tmpl w:val="8B28F254"/>
    <w:lvl w:ilvl="0" w:tplc="DAA2271A">
      <w:start w:val="1"/>
      <w:numFmt w:val="bullet"/>
      <w:lvlText w:val=""/>
      <w:lvlJc w:val="left"/>
      <w:pPr>
        <w:ind w:left="2771" w:hanging="360"/>
      </w:pPr>
      <w:rPr>
        <w:rFonts w:ascii="Wingdings" w:hAnsi="Wingdings" w:hint="default"/>
        <w:color w:val="31849B" w:themeColor="accent5" w:themeShade="BF"/>
        <w:sz w:val="20"/>
        <w:u w:color="31849B" w:themeColor="accent5" w:themeShade="BF"/>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1" w15:restartNumberingAfterBreak="0">
    <w:nsid w:val="74DA255C"/>
    <w:multiLevelType w:val="hybridMultilevel"/>
    <w:tmpl w:val="ED268808"/>
    <w:lvl w:ilvl="0" w:tplc="DAA2271A">
      <w:start w:val="1"/>
      <w:numFmt w:val="bullet"/>
      <w:lvlText w:val=""/>
      <w:lvlJc w:val="left"/>
      <w:pPr>
        <w:ind w:left="720" w:hanging="360"/>
      </w:pPr>
      <w:rPr>
        <w:rFonts w:ascii="Wingdings" w:hAnsi="Wingdings" w:hint="default"/>
        <w:color w:val="31849B" w:themeColor="accent5" w:themeShade="BF"/>
        <w:sz w:val="20"/>
        <w:u w:color="31849B"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2A54C9"/>
    <w:multiLevelType w:val="hybridMultilevel"/>
    <w:tmpl w:val="FA4CF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87325F"/>
    <w:multiLevelType w:val="hybridMultilevel"/>
    <w:tmpl w:val="5EC8A3EC"/>
    <w:lvl w:ilvl="0" w:tplc="DAA2271A">
      <w:start w:val="1"/>
      <w:numFmt w:val="bullet"/>
      <w:lvlText w:val=""/>
      <w:lvlJc w:val="left"/>
      <w:pPr>
        <w:ind w:left="927" w:hanging="360"/>
      </w:pPr>
      <w:rPr>
        <w:rFonts w:ascii="Wingdings" w:hAnsi="Wingdings" w:hint="default"/>
        <w:color w:val="31849B" w:themeColor="accent5" w:themeShade="BF"/>
        <w:sz w:val="20"/>
        <w:u w:color="31849B" w:themeColor="accent5" w:themeShade="BF"/>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7"/>
  </w:num>
  <w:num w:numId="6">
    <w:abstractNumId w:val="10"/>
  </w:num>
  <w:num w:numId="7">
    <w:abstractNumId w:val="13"/>
  </w:num>
  <w:num w:numId="8">
    <w:abstractNumId w:val="2"/>
  </w:num>
  <w:num w:numId="9">
    <w:abstractNumId w:val="11"/>
  </w:num>
  <w:num w:numId="10">
    <w:abstractNumId w:val="3"/>
  </w:num>
  <w:num w:numId="11">
    <w:abstractNumId w:val="6"/>
  </w:num>
  <w:num w:numId="12">
    <w:abstractNumId w:val="12"/>
  </w:num>
  <w:num w:numId="13">
    <w:abstractNumId w:val="8"/>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06"/>
    <w:rsid w:val="00003314"/>
    <w:rsid w:val="000059E6"/>
    <w:rsid w:val="00007541"/>
    <w:rsid w:val="00036B26"/>
    <w:rsid w:val="00062A93"/>
    <w:rsid w:val="00067795"/>
    <w:rsid w:val="00070364"/>
    <w:rsid w:val="00071547"/>
    <w:rsid w:val="00074DE2"/>
    <w:rsid w:val="00077A32"/>
    <w:rsid w:val="00082321"/>
    <w:rsid w:val="000902D1"/>
    <w:rsid w:val="000967BD"/>
    <w:rsid w:val="000A094C"/>
    <w:rsid w:val="000A3423"/>
    <w:rsid w:val="000A3D96"/>
    <w:rsid w:val="000B1629"/>
    <w:rsid w:val="000B7D19"/>
    <w:rsid w:val="000C11DF"/>
    <w:rsid w:val="000D0E7D"/>
    <w:rsid w:val="000D241E"/>
    <w:rsid w:val="000E24A6"/>
    <w:rsid w:val="000F1F8F"/>
    <w:rsid w:val="000F2714"/>
    <w:rsid w:val="001142DC"/>
    <w:rsid w:val="00116C3C"/>
    <w:rsid w:val="00133126"/>
    <w:rsid w:val="001366FC"/>
    <w:rsid w:val="001412BB"/>
    <w:rsid w:val="001A2A76"/>
    <w:rsid w:val="001B0226"/>
    <w:rsid w:val="001B58EE"/>
    <w:rsid w:val="001D69CF"/>
    <w:rsid w:val="001E660F"/>
    <w:rsid w:val="001F3A29"/>
    <w:rsid w:val="00202765"/>
    <w:rsid w:val="002035E2"/>
    <w:rsid w:val="002047EC"/>
    <w:rsid w:val="002260F5"/>
    <w:rsid w:val="00236419"/>
    <w:rsid w:val="00270A3B"/>
    <w:rsid w:val="00287DC5"/>
    <w:rsid w:val="00296FCD"/>
    <w:rsid w:val="002A64DE"/>
    <w:rsid w:val="002C33DF"/>
    <w:rsid w:val="003146B5"/>
    <w:rsid w:val="00324AA3"/>
    <w:rsid w:val="003323E8"/>
    <w:rsid w:val="00332B3E"/>
    <w:rsid w:val="00366D80"/>
    <w:rsid w:val="00374DC6"/>
    <w:rsid w:val="00375DA8"/>
    <w:rsid w:val="00393251"/>
    <w:rsid w:val="003A1A57"/>
    <w:rsid w:val="003A1DFB"/>
    <w:rsid w:val="003B3F33"/>
    <w:rsid w:val="003C10C0"/>
    <w:rsid w:val="003C32AE"/>
    <w:rsid w:val="003C3EC5"/>
    <w:rsid w:val="003D17AE"/>
    <w:rsid w:val="003D4C24"/>
    <w:rsid w:val="00421ADF"/>
    <w:rsid w:val="004246BF"/>
    <w:rsid w:val="00426290"/>
    <w:rsid w:val="00431049"/>
    <w:rsid w:val="00437385"/>
    <w:rsid w:val="0045554E"/>
    <w:rsid w:val="00463EAA"/>
    <w:rsid w:val="00467374"/>
    <w:rsid w:val="00482335"/>
    <w:rsid w:val="00485FF4"/>
    <w:rsid w:val="004933FC"/>
    <w:rsid w:val="004A07D1"/>
    <w:rsid w:val="004C192F"/>
    <w:rsid w:val="004C37FF"/>
    <w:rsid w:val="004C6E9C"/>
    <w:rsid w:val="004E0094"/>
    <w:rsid w:val="004E325F"/>
    <w:rsid w:val="004F78E2"/>
    <w:rsid w:val="00502FD5"/>
    <w:rsid w:val="00510961"/>
    <w:rsid w:val="00511889"/>
    <w:rsid w:val="0052092C"/>
    <w:rsid w:val="00544AC6"/>
    <w:rsid w:val="00572195"/>
    <w:rsid w:val="00597914"/>
    <w:rsid w:val="005B33B9"/>
    <w:rsid w:val="005B71C1"/>
    <w:rsid w:val="005E40EF"/>
    <w:rsid w:val="005E5CD8"/>
    <w:rsid w:val="00612984"/>
    <w:rsid w:val="00617FE0"/>
    <w:rsid w:val="006211AD"/>
    <w:rsid w:val="00631FD4"/>
    <w:rsid w:val="00634617"/>
    <w:rsid w:val="00637DEC"/>
    <w:rsid w:val="006533F0"/>
    <w:rsid w:val="0065552E"/>
    <w:rsid w:val="006665AE"/>
    <w:rsid w:val="0067101F"/>
    <w:rsid w:val="006732D9"/>
    <w:rsid w:val="006778FA"/>
    <w:rsid w:val="006927EC"/>
    <w:rsid w:val="0069350B"/>
    <w:rsid w:val="00695CD3"/>
    <w:rsid w:val="006A30DE"/>
    <w:rsid w:val="006B4A49"/>
    <w:rsid w:val="006C234E"/>
    <w:rsid w:val="006C23B9"/>
    <w:rsid w:val="006D2753"/>
    <w:rsid w:val="006D4B1F"/>
    <w:rsid w:val="006E0E5B"/>
    <w:rsid w:val="006E2E74"/>
    <w:rsid w:val="0071231C"/>
    <w:rsid w:val="00714173"/>
    <w:rsid w:val="00714A73"/>
    <w:rsid w:val="007230A2"/>
    <w:rsid w:val="00723314"/>
    <w:rsid w:val="007242D6"/>
    <w:rsid w:val="00726765"/>
    <w:rsid w:val="007268CB"/>
    <w:rsid w:val="00742F66"/>
    <w:rsid w:val="00750B22"/>
    <w:rsid w:val="0075269D"/>
    <w:rsid w:val="00762171"/>
    <w:rsid w:val="00763C9E"/>
    <w:rsid w:val="00771799"/>
    <w:rsid w:val="00772B47"/>
    <w:rsid w:val="00777B6A"/>
    <w:rsid w:val="007A2D6F"/>
    <w:rsid w:val="007A3FF1"/>
    <w:rsid w:val="007D6BE4"/>
    <w:rsid w:val="007F3EB3"/>
    <w:rsid w:val="007F716D"/>
    <w:rsid w:val="008067AD"/>
    <w:rsid w:val="00825790"/>
    <w:rsid w:val="008347DB"/>
    <w:rsid w:val="00867F06"/>
    <w:rsid w:val="00880C08"/>
    <w:rsid w:val="008A4D1C"/>
    <w:rsid w:val="008B19CC"/>
    <w:rsid w:val="008C1DBC"/>
    <w:rsid w:val="008D6B1F"/>
    <w:rsid w:val="008D76FD"/>
    <w:rsid w:val="008F7BB0"/>
    <w:rsid w:val="00910BCE"/>
    <w:rsid w:val="00912B22"/>
    <w:rsid w:val="00922AC4"/>
    <w:rsid w:val="00927D43"/>
    <w:rsid w:val="00935206"/>
    <w:rsid w:val="00944724"/>
    <w:rsid w:val="00990827"/>
    <w:rsid w:val="00990C44"/>
    <w:rsid w:val="009A1CC2"/>
    <w:rsid w:val="009B6C5E"/>
    <w:rsid w:val="009B7EFF"/>
    <w:rsid w:val="009C4043"/>
    <w:rsid w:val="009C5EA1"/>
    <w:rsid w:val="009E0337"/>
    <w:rsid w:val="009E483F"/>
    <w:rsid w:val="009E7093"/>
    <w:rsid w:val="009E77FB"/>
    <w:rsid w:val="009F0EB6"/>
    <w:rsid w:val="009F5F37"/>
    <w:rsid w:val="00A151CD"/>
    <w:rsid w:val="00A3522E"/>
    <w:rsid w:val="00A44015"/>
    <w:rsid w:val="00A52DE2"/>
    <w:rsid w:val="00A82B22"/>
    <w:rsid w:val="00A9547A"/>
    <w:rsid w:val="00AA16AB"/>
    <w:rsid w:val="00AA4CFC"/>
    <w:rsid w:val="00AA58D0"/>
    <w:rsid w:val="00AB1266"/>
    <w:rsid w:val="00AC203E"/>
    <w:rsid w:val="00AC6053"/>
    <w:rsid w:val="00AD3125"/>
    <w:rsid w:val="00AD4C07"/>
    <w:rsid w:val="00AE0348"/>
    <w:rsid w:val="00AE1B42"/>
    <w:rsid w:val="00AE4130"/>
    <w:rsid w:val="00AE4CEF"/>
    <w:rsid w:val="00B1058D"/>
    <w:rsid w:val="00B24B64"/>
    <w:rsid w:val="00B3201F"/>
    <w:rsid w:val="00B46DC5"/>
    <w:rsid w:val="00B56381"/>
    <w:rsid w:val="00B62BE5"/>
    <w:rsid w:val="00B71F47"/>
    <w:rsid w:val="00B87D77"/>
    <w:rsid w:val="00B93123"/>
    <w:rsid w:val="00B940D6"/>
    <w:rsid w:val="00BA5CB2"/>
    <w:rsid w:val="00BC2532"/>
    <w:rsid w:val="00BC5820"/>
    <w:rsid w:val="00BE16FE"/>
    <w:rsid w:val="00BF57F0"/>
    <w:rsid w:val="00C06F00"/>
    <w:rsid w:val="00C13025"/>
    <w:rsid w:val="00C5629F"/>
    <w:rsid w:val="00C64210"/>
    <w:rsid w:val="00C76994"/>
    <w:rsid w:val="00C86320"/>
    <w:rsid w:val="00C96435"/>
    <w:rsid w:val="00CB7A9B"/>
    <w:rsid w:val="00CC0AB8"/>
    <w:rsid w:val="00CC465B"/>
    <w:rsid w:val="00CC5495"/>
    <w:rsid w:val="00CD45BE"/>
    <w:rsid w:val="00CE0DDD"/>
    <w:rsid w:val="00CE25A1"/>
    <w:rsid w:val="00CE27BA"/>
    <w:rsid w:val="00CF65E7"/>
    <w:rsid w:val="00D226C6"/>
    <w:rsid w:val="00D2370C"/>
    <w:rsid w:val="00D35BAA"/>
    <w:rsid w:val="00D40570"/>
    <w:rsid w:val="00D5738F"/>
    <w:rsid w:val="00D602D8"/>
    <w:rsid w:val="00D6233E"/>
    <w:rsid w:val="00D62DD2"/>
    <w:rsid w:val="00D63443"/>
    <w:rsid w:val="00D9071C"/>
    <w:rsid w:val="00D952A8"/>
    <w:rsid w:val="00D97005"/>
    <w:rsid w:val="00DB14DA"/>
    <w:rsid w:val="00DD5C99"/>
    <w:rsid w:val="00DE47A7"/>
    <w:rsid w:val="00DF3117"/>
    <w:rsid w:val="00E02F42"/>
    <w:rsid w:val="00E10C00"/>
    <w:rsid w:val="00E127FF"/>
    <w:rsid w:val="00E177F6"/>
    <w:rsid w:val="00E2320A"/>
    <w:rsid w:val="00E30E12"/>
    <w:rsid w:val="00E3612C"/>
    <w:rsid w:val="00E45441"/>
    <w:rsid w:val="00E50767"/>
    <w:rsid w:val="00E51722"/>
    <w:rsid w:val="00E97690"/>
    <w:rsid w:val="00EA3DFB"/>
    <w:rsid w:val="00EA7015"/>
    <w:rsid w:val="00EB28CF"/>
    <w:rsid w:val="00EB75B6"/>
    <w:rsid w:val="00ED4771"/>
    <w:rsid w:val="00ED4D45"/>
    <w:rsid w:val="00EE08F8"/>
    <w:rsid w:val="00EE7AB9"/>
    <w:rsid w:val="00EF04AB"/>
    <w:rsid w:val="00EF2E07"/>
    <w:rsid w:val="00EF469C"/>
    <w:rsid w:val="00F20C18"/>
    <w:rsid w:val="00F36F7A"/>
    <w:rsid w:val="00F63545"/>
    <w:rsid w:val="00F705F8"/>
    <w:rsid w:val="00F8426D"/>
    <w:rsid w:val="00F84EC2"/>
    <w:rsid w:val="00FA588B"/>
    <w:rsid w:val="00FC1251"/>
    <w:rsid w:val="00FC1DEE"/>
    <w:rsid w:val="00FC2757"/>
    <w:rsid w:val="00FC39FE"/>
    <w:rsid w:val="00FC4855"/>
    <w:rsid w:val="00FC7D2F"/>
    <w:rsid w:val="00FD2788"/>
    <w:rsid w:val="00FD4F1E"/>
    <w:rsid w:val="00FE4A27"/>
    <w:rsid w:val="00FF651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8D0CD7"/>
  <w15:docId w15:val="{3F411BC0-5F75-41EF-B7F9-96D482F2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385"/>
  </w:style>
  <w:style w:type="paragraph" w:styleId="Titre1">
    <w:name w:val="heading 1"/>
    <w:basedOn w:val="Normal"/>
    <w:next w:val="Normal"/>
    <w:link w:val="Titre1Car"/>
    <w:uiPriority w:val="9"/>
    <w:qFormat/>
    <w:rsid w:val="009E0337"/>
    <w:pPr>
      <w:keepNext/>
      <w:keepLines/>
      <w:spacing w:before="480" w:after="0"/>
      <w:outlineLvl w:val="0"/>
    </w:pPr>
    <w:rPr>
      <w:rFonts w:ascii="Helvetica" w:eastAsia="Times New Roman" w:hAnsi="Helvetica" w:cs="Times New Roman"/>
      <w:b/>
      <w:bCs/>
      <w:color w:val="2F759E"/>
      <w:sz w:val="28"/>
      <w:szCs w:val="28"/>
      <w:lang w:val="en-US" w:eastAsia="en-US"/>
    </w:rPr>
  </w:style>
  <w:style w:type="paragraph" w:styleId="Titre2">
    <w:name w:val="heading 2"/>
    <w:basedOn w:val="Normal"/>
    <w:next w:val="Normal"/>
    <w:link w:val="Titre2Car"/>
    <w:uiPriority w:val="9"/>
    <w:unhideWhenUsed/>
    <w:qFormat/>
    <w:rsid w:val="002C33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E0337"/>
    <w:pPr>
      <w:keepNext/>
      <w:keepLines/>
      <w:spacing w:before="200" w:after="0"/>
      <w:outlineLvl w:val="2"/>
    </w:pPr>
    <w:rPr>
      <w:rFonts w:ascii="Helvetica" w:eastAsia="Times New Roman" w:hAnsi="Helvetica" w:cs="Times New Roman"/>
      <w:b/>
      <w:bCs/>
      <w:color w:val="499BC9"/>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5206"/>
    <w:pPr>
      <w:tabs>
        <w:tab w:val="center" w:pos="4703"/>
        <w:tab w:val="right" w:pos="9406"/>
      </w:tabs>
      <w:spacing w:after="0"/>
    </w:pPr>
  </w:style>
  <w:style w:type="character" w:customStyle="1" w:styleId="En-tteCar">
    <w:name w:val="En-tête Car"/>
    <w:basedOn w:val="Policepardfaut"/>
    <w:link w:val="En-tte"/>
    <w:uiPriority w:val="99"/>
    <w:rsid w:val="00935206"/>
  </w:style>
  <w:style w:type="paragraph" w:styleId="Pieddepage">
    <w:name w:val="footer"/>
    <w:basedOn w:val="Normal"/>
    <w:link w:val="PieddepageCar"/>
    <w:uiPriority w:val="99"/>
    <w:unhideWhenUsed/>
    <w:rsid w:val="00935206"/>
    <w:pPr>
      <w:tabs>
        <w:tab w:val="center" w:pos="4703"/>
        <w:tab w:val="right" w:pos="9406"/>
      </w:tabs>
      <w:spacing w:after="0"/>
    </w:pPr>
  </w:style>
  <w:style w:type="character" w:customStyle="1" w:styleId="PieddepageCar">
    <w:name w:val="Pied de page Car"/>
    <w:basedOn w:val="Policepardfaut"/>
    <w:link w:val="Pieddepage"/>
    <w:uiPriority w:val="99"/>
    <w:rsid w:val="00935206"/>
  </w:style>
  <w:style w:type="table" w:styleId="Trameclaire-Accent1">
    <w:name w:val="Light Shading Accent 1"/>
    <w:basedOn w:val="TableauNormal"/>
    <w:uiPriority w:val="60"/>
    <w:rsid w:val="00935206"/>
    <w:pPr>
      <w:spacing w:after="0"/>
    </w:pPr>
    <w:rPr>
      <w:color w:val="365F91" w:themeColor="accent1" w:themeShade="BF"/>
      <w:sz w:val="22"/>
      <w:szCs w:val="22"/>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edebulles">
    <w:name w:val="Balloon Text"/>
    <w:basedOn w:val="Normal"/>
    <w:link w:val="TextedebullesCar"/>
    <w:uiPriority w:val="99"/>
    <w:semiHidden/>
    <w:unhideWhenUsed/>
    <w:rsid w:val="00935206"/>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35206"/>
    <w:rPr>
      <w:rFonts w:ascii="lucida grande" w:hAnsi="lucida grande" w:cs="lucida grande"/>
      <w:sz w:val="18"/>
      <w:szCs w:val="18"/>
    </w:rPr>
  </w:style>
  <w:style w:type="paragraph" w:customStyle="1" w:styleId="Paragraphestandard">
    <w:name w:val="[Paragraphe standard]"/>
    <w:basedOn w:val="Normal"/>
    <w:uiPriority w:val="99"/>
    <w:rsid w:val="009C5EA1"/>
    <w:pPr>
      <w:widowControl w:val="0"/>
      <w:autoSpaceDE w:val="0"/>
      <w:autoSpaceDN w:val="0"/>
      <w:adjustRightInd w:val="0"/>
      <w:spacing w:after="0" w:line="288" w:lineRule="auto"/>
      <w:textAlignment w:val="center"/>
    </w:pPr>
    <w:rPr>
      <w:rFonts w:ascii="MinionPro-Regular" w:hAnsi="MinionPro-Regular" w:cs="MinionPro-Regular"/>
      <w:color w:val="000000"/>
      <w:lang w:val="fr-FR"/>
    </w:rPr>
  </w:style>
  <w:style w:type="character" w:styleId="Lienhypertexte">
    <w:name w:val="Hyperlink"/>
    <w:basedOn w:val="Policepardfaut"/>
    <w:uiPriority w:val="99"/>
    <w:unhideWhenUsed/>
    <w:rsid w:val="009C5EA1"/>
    <w:rPr>
      <w:color w:val="0000FF" w:themeColor="hyperlink"/>
      <w:u w:val="single"/>
    </w:rPr>
  </w:style>
  <w:style w:type="paragraph" w:customStyle="1" w:styleId="Titre11">
    <w:name w:val="Titre 11"/>
    <w:basedOn w:val="Normal"/>
    <w:next w:val="Normal"/>
    <w:uiPriority w:val="9"/>
    <w:qFormat/>
    <w:rsid w:val="009E0337"/>
    <w:pPr>
      <w:keepNext/>
      <w:keepLines/>
      <w:pBdr>
        <w:top w:val="nil"/>
        <w:left w:val="nil"/>
        <w:bottom w:val="nil"/>
        <w:right w:val="nil"/>
        <w:between w:val="nil"/>
        <w:bar w:val="nil"/>
      </w:pBdr>
      <w:spacing w:before="480" w:after="0"/>
      <w:outlineLvl w:val="0"/>
    </w:pPr>
    <w:rPr>
      <w:rFonts w:ascii="Helvetica" w:eastAsia="Times New Roman" w:hAnsi="Helvetica" w:cs="Times New Roman"/>
      <w:b/>
      <w:bCs/>
      <w:color w:val="2F759E"/>
      <w:sz w:val="28"/>
      <w:szCs w:val="28"/>
      <w:bdr w:val="nil"/>
      <w:lang w:val="en-US" w:eastAsia="en-US"/>
    </w:rPr>
  </w:style>
  <w:style w:type="paragraph" w:customStyle="1" w:styleId="Titre31">
    <w:name w:val="Titre 31"/>
    <w:basedOn w:val="Normal"/>
    <w:next w:val="Normal"/>
    <w:uiPriority w:val="9"/>
    <w:unhideWhenUsed/>
    <w:qFormat/>
    <w:rsid w:val="009E0337"/>
    <w:pPr>
      <w:keepNext/>
      <w:keepLines/>
      <w:pBdr>
        <w:top w:val="nil"/>
        <w:left w:val="nil"/>
        <w:bottom w:val="nil"/>
        <w:right w:val="nil"/>
        <w:between w:val="nil"/>
        <w:bar w:val="nil"/>
      </w:pBdr>
      <w:spacing w:before="200" w:after="0"/>
      <w:outlineLvl w:val="2"/>
    </w:pPr>
    <w:rPr>
      <w:rFonts w:ascii="Helvetica" w:eastAsia="Times New Roman" w:hAnsi="Helvetica" w:cs="Times New Roman"/>
      <w:b/>
      <w:bCs/>
      <w:color w:val="499BC9"/>
      <w:bdr w:val="nil"/>
      <w:lang w:val="en-US" w:eastAsia="en-US"/>
    </w:rPr>
  </w:style>
  <w:style w:type="character" w:customStyle="1" w:styleId="Titre1Car">
    <w:name w:val="Titre 1 Car"/>
    <w:basedOn w:val="Policepardfaut"/>
    <w:link w:val="Titre1"/>
    <w:uiPriority w:val="9"/>
    <w:rsid w:val="009E0337"/>
    <w:rPr>
      <w:rFonts w:ascii="Helvetica" w:eastAsia="Times New Roman" w:hAnsi="Helvetica" w:cs="Times New Roman"/>
      <w:b/>
      <w:bCs/>
      <w:color w:val="2F759E"/>
      <w:sz w:val="28"/>
      <w:szCs w:val="28"/>
      <w:lang w:val="en-US" w:eastAsia="en-US"/>
    </w:rPr>
  </w:style>
  <w:style w:type="character" w:customStyle="1" w:styleId="Titre3Car">
    <w:name w:val="Titre 3 Car"/>
    <w:basedOn w:val="Policepardfaut"/>
    <w:link w:val="Titre3"/>
    <w:uiPriority w:val="9"/>
    <w:rsid w:val="009E0337"/>
    <w:rPr>
      <w:rFonts w:ascii="Helvetica" w:eastAsia="Times New Roman" w:hAnsi="Helvetica" w:cs="Times New Roman"/>
      <w:b/>
      <w:bCs/>
      <w:color w:val="499BC9"/>
      <w:sz w:val="24"/>
      <w:szCs w:val="24"/>
      <w:lang w:val="en-US" w:eastAsia="en-US"/>
    </w:rPr>
  </w:style>
  <w:style w:type="numbering" w:customStyle="1" w:styleId="Puce">
    <w:name w:val="Puce"/>
    <w:rsid w:val="009E0337"/>
    <w:pPr>
      <w:numPr>
        <w:numId w:val="1"/>
      </w:numPr>
    </w:pPr>
  </w:style>
  <w:style w:type="character" w:customStyle="1" w:styleId="Hyperlink0">
    <w:name w:val="Hyperlink.0"/>
    <w:basedOn w:val="Policepardfaut"/>
    <w:rsid w:val="009E0337"/>
    <w:rPr>
      <w:color w:val="0432FF"/>
      <w:u w:val="single"/>
    </w:rPr>
  </w:style>
  <w:style w:type="character" w:customStyle="1" w:styleId="Titre1Car1">
    <w:name w:val="Titre 1 Car1"/>
    <w:basedOn w:val="Policepardfaut"/>
    <w:uiPriority w:val="9"/>
    <w:rsid w:val="009E0337"/>
    <w:rPr>
      <w:rFonts w:asciiTheme="majorHAnsi" w:eastAsiaTheme="majorEastAsia" w:hAnsiTheme="majorHAnsi" w:cstheme="majorBidi"/>
      <w:b/>
      <w:bCs/>
      <w:color w:val="365F91" w:themeColor="accent1" w:themeShade="BF"/>
      <w:sz w:val="28"/>
      <w:szCs w:val="28"/>
    </w:rPr>
  </w:style>
  <w:style w:type="character" w:customStyle="1" w:styleId="Titre3Car1">
    <w:name w:val="Titre 3 Car1"/>
    <w:basedOn w:val="Policepardfaut"/>
    <w:uiPriority w:val="9"/>
    <w:semiHidden/>
    <w:rsid w:val="009E033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rsid w:val="002C33DF"/>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6D2753"/>
    <w:pPr>
      <w:ind w:left="720"/>
      <w:contextualSpacing/>
    </w:pPr>
  </w:style>
  <w:style w:type="table" w:styleId="Grilledutableau">
    <w:name w:val="Table Grid"/>
    <w:basedOn w:val="TableauNormal"/>
    <w:uiPriority w:val="59"/>
    <w:rsid w:val="004246BF"/>
    <w:pPr>
      <w:spacing w:after="0"/>
    </w:pPr>
    <w:rPr>
      <w:rFonts w:eastAsiaTheme="minorHAnsi"/>
      <w:sz w:val="22"/>
      <w:szCs w:val="22"/>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B75B6"/>
    <w:pPr>
      <w:spacing w:after="0"/>
    </w:pPr>
    <w:rPr>
      <w:sz w:val="20"/>
      <w:szCs w:val="20"/>
    </w:rPr>
  </w:style>
  <w:style w:type="character" w:customStyle="1" w:styleId="NotedebasdepageCar">
    <w:name w:val="Note de bas de page Car"/>
    <w:basedOn w:val="Policepardfaut"/>
    <w:link w:val="Notedebasdepage"/>
    <w:uiPriority w:val="99"/>
    <w:semiHidden/>
    <w:rsid w:val="00EB75B6"/>
    <w:rPr>
      <w:sz w:val="20"/>
      <w:szCs w:val="20"/>
    </w:rPr>
  </w:style>
  <w:style w:type="character" w:styleId="Appelnotedebasdep">
    <w:name w:val="footnote reference"/>
    <w:basedOn w:val="Policepardfaut"/>
    <w:uiPriority w:val="99"/>
    <w:semiHidden/>
    <w:unhideWhenUsed/>
    <w:rsid w:val="00EB75B6"/>
    <w:rPr>
      <w:vertAlign w:val="superscript"/>
    </w:rPr>
  </w:style>
  <w:style w:type="paragraph" w:styleId="Notedefin">
    <w:name w:val="endnote text"/>
    <w:basedOn w:val="Normal"/>
    <w:link w:val="NotedefinCar"/>
    <w:uiPriority w:val="99"/>
    <w:semiHidden/>
    <w:unhideWhenUsed/>
    <w:rsid w:val="009E7093"/>
    <w:pPr>
      <w:spacing w:after="0"/>
    </w:pPr>
    <w:rPr>
      <w:sz w:val="20"/>
      <w:szCs w:val="20"/>
    </w:rPr>
  </w:style>
  <w:style w:type="character" w:customStyle="1" w:styleId="NotedefinCar">
    <w:name w:val="Note de fin Car"/>
    <w:basedOn w:val="Policepardfaut"/>
    <w:link w:val="Notedefin"/>
    <w:uiPriority w:val="99"/>
    <w:semiHidden/>
    <w:rsid w:val="009E7093"/>
    <w:rPr>
      <w:sz w:val="20"/>
      <w:szCs w:val="20"/>
    </w:rPr>
  </w:style>
  <w:style w:type="character" w:styleId="Appeldenotedefin">
    <w:name w:val="endnote reference"/>
    <w:basedOn w:val="Policepardfaut"/>
    <w:uiPriority w:val="99"/>
    <w:semiHidden/>
    <w:unhideWhenUsed/>
    <w:rsid w:val="009E7093"/>
    <w:rPr>
      <w:vertAlign w:val="superscript"/>
    </w:rPr>
  </w:style>
  <w:style w:type="character" w:styleId="Marquedecommentaire">
    <w:name w:val="annotation reference"/>
    <w:basedOn w:val="Policepardfaut"/>
    <w:uiPriority w:val="99"/>
    <w:semiHidden/>
    <w:unhideWhenUsed/>
    <w:rsid w:val="003146B5"/>
    <w:rPr>
      <w:sz w:val="18"/>
      <w:szCs w:val="18"/>
    </w:rPr>
  </w:style>
  <w:style w:type="paragraph" w:styleId="Commentaire">
    <w:name w:val="annotation text"/>
    <w:basedOn w:val="Normal"/>
    <w:link w:val="CommentaireCar"/>
    <w:uiPriority w:val="99"/>
    <w:semiHidden/>
    <w:unhideWhenUsed/>
    <w:rsid w:val="003146B5"/>
  </w:style>
  <w:style w:type="character" w:customStyle="1" w:styleId="CommentaireCar">
    <w:name w:val="Commentaire Car"/>
    <w:basedOn w:val="Policepardfaut"/>
    <w:link w:val="Commentaire"/>
    <w:uiPriority w:val="99"/>
    <w:semiHidden/>
    <w:rsid w:val="003146B5"/>
  </w:style>
  <w:style w:type="paragraph" w:styleId="Objetducommentaire">
    <w:name w:val="annotation subject"/>
    <w:basedOn w:val="Commentaire"/>
    <w:next w:val="Commentaire"/>
    <w:link w:val="ObjetducommentaireCar"/>
    <w:uiPriority w:val="99"/>
    <w:semiHidden/>
    <w:unhideWhenUsed/>
    <w:rsid w:val="003146B5"/>
    <w:rPr>
      <w:b/>
      <w:bCs/>
      <w:sz w:val="20"/>
      <w:szCs w:val="20"/>
    </w:rPr>
  </w:style>
  <w:style w:type="character" w:customStyle="1" w:styleId="ObjetducommentaireCar">
    <w:name w:val="Objet du commentaire Car"/>
    <w:basedOn w:val="CommentaireCar"/>
    <w:link w:val="Objetducommentaire"/>
    <w:uiPriority w:val="99"/>
    <w:semiHidden/>
    <w:rsid w:val="003146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26836">
      <w:bodyDiv w:val="1"/>
      <w:marLeft w:val="0"/>
      <w:marRight w:val="0"/>
      <w:marTop w:val="0"/>
      <w:marBottom w:val="0"/>
      <w:divBdr>
        <w:top w:val="none" w:sz="0" w:space="0" w:color="auto"/>
        <w:left w:val="none" w:sz="0" w:space="0" w:color="auto"/>
        <w:bottom w:val="none" w:sz="0" w:space="0" w:color="auto"/>
        <w:right w:val="none" w:sz="0" w:space="0" w:color="auto"/>
      </w:divBdr>
    </w:div>
    <w:div w:id="673460909">
      <w:bodyDiv w:val="1"/>
      <w:marLeft w:val="0"/>
      <w:marRight w:val="0"/>
      <w:marTop w:val="0"/>
      <w:marBottom w:val="0"/>
      <w:divBdr>
        <w:top w:val="none" w:sz="0" w:space="0" w:color="auto"/>
        <w:left w:val="none" w:sz="0" w:space="0" w:color="auto"/>
        <w:bottom w:val="none" w:sz="0" w:space="0" w:color="auto"/>
        <w:right w:val="none" w:sz="0" w:space="0" w:color="auto"/>
      </w:divBdr>
    </w:div>
    <w:div w:id="1257901144">
      <w:bodyDiv w:val="1"/>
      <w:marLeft w:val="0"/>
      <w:marRight w:val="0"/>
      <w:marTop w:val="0"/>
      <w:marBottom w:val="0"/>
      <w:divBdr>
        <w:top w:val="none" w:sz="0" w:space="0" w:color="auto"/>
        <w:left w:val="none" w:sz="0" w:space="0" w:color="auto"/>
        <w:bottom w:val="none" w:sz="0" w:space="0" w:color="auto"/>
        <w:right w:val="none" w:sz="0" w:space="0" w:color="auto"/>
      </w:divBdr>
    </w:div>
    <w:div w:id="1390611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DAA94-21FC-4F95-90D2-A4A6F979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2536</Words>
  <Characters>13951</Characters>
  <Application>Microsoft Office Word</Application>
  <DocSecurity>0</DocSecurity>
  <Lines>116</Lines>
  <Paragraphs>32</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REGLEMENT DES ETUDES ET MCCC 23/24</vt:lpstr>
      <vt:lpstr>    L’architecture de la mention : indiquer tous les parcours associés à la mention</vt:lpstr>
    </vt:vector>
  </TitlesOfParts>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RTS</dc:creator>
  <cp:lastModifiedBy>David HEBERT</cp:lastModifiedBy>
  <cp:revision>4</cp:revision>
  <cp:lastPrinted>2017-05-22T10:42:00Z</cp:lastPrinted>
  <dcterms:created xsi:type="dcterms:W3CDTF">2023-12-08T12:48:00Z</dcterms:created>
  <dcterms:modified xsi:type="dcterms:W3CDTF">2023-12-08T16:07:00Z</dcterms:modified>
</cp:coreProperties>
</file>